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0" w:after="0"/>
        <w:jc w:val="center"/>
        <w:rPr>
          <w:rFonts w:ascii="Times New Roman" w:hAnsi="Times New Roman"/>
          <w:sz w:val="23"/>
          <w:szCs w:val="23"/>
        </w:rPr>
      </w:pPr>
      <w:r>
        <w:rPr>
          <w:rFonts w:eastAsia="Arial" w:cs="Arial"/>
          <w:b/>
          <w:sz w:val="23"/>
          <w:szCs w:val="23"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jc w:val="center"/>
        <w:rPr>
          <w:rFonts w:ascii="Times New Roman" w:hAnsi="Times New Roman" w:eastAsia="Arial" w:cs="Arial"/>
          <w:b/>
          <w:sz w:val="23"/>
          <w:szCs w:val="23"/>
        </w:rPr>
      </w:pPr>
      <w:r>
        <w:rPr>
          <w:rFonts w:eastAsia="Arial" w:cs="Arial"/>
          <w:b/>
          <w:sz w:val="23"/>
          <w:szCs w:val="23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jc w:val="center"/>
        <w:rPr>
          <w:rFonts w:ascii="Times New Roman" w:hAnsi="Times New Roman" w:eastAsia="Arial" w:cs="Arial"/>
          <w:b/>
          <w:sz w:val="23"/>
          <w:szCs w:val="23"/>
        </w:rPr>
      </w:pPr>
      <w:r>
        <w:rPr>
          <w:rFonts w:eastAsia="Arial" w:cs="Arial"/>
          <w:b/>
          <w:sz w:val="23"/>
          <w:szCs w:val="23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/>
        <w:rPr>
          <w:rFonts w:ascii="Times New Roman" w:hAnsi="Times New Roman"/>
          <w:sz w:val="23"/>
          <w:szCs w:val="23"/>
        </w:rPr>
      </w:pPr>
      <w:r>
        <w:rPr>
          <w:rFonts w:eastAsia="Arial" w:cs="Arial"/>
          <w:b/>
          <w:sz w:val="23"/>
          <w:szCs w:val="23"/>
        </w:rPr>
        <w:t>1. INFORMAÇÕES BÁSICAS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before="0" w:after="0"/>
        <w:ind w:left="0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eastAsia="Arial" w:cs="Arial" w:ascii="Times New Roman" w:hAnsi="Times New Roman"/>
          <w:color w:val="000000"/>
          <w:sz w:val="23"/>
          <w:szCs w:val="23"/>
        </w:rPr>
        <w:t xml:space="preserve">Contratação de empresa especializada para prestação de serviços de construção de </w:t>
      </w:r>
      <w:r>
        <w:rPr>
          <w:rFonts w:eastAsia="Times New Roman" w:cs="Arial" w:ascii="Times New Roman" w:hAnsi="Times New Roman"/>
          <w:color w:val="000000"/>
          <w:sz w:val="23"/>
          <w:szCs w:val="23"/>
          <w:lang w:eastAsia="pt-BR"/>
        </w:rPr>
        <w:t>instalação de corrimão, guarda-corpo, e proteção contra incêndio na Câmara Municipal de São Gabriel da Palha-ES.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before="0" w:after="0"/>
        <w:ind w:left="0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eastAsia="Arial" w:cs="Arial" w:ascii="Times New Roman" w:hAnsi="Times New Roman"/>
          <w:sz w:val="23"/>
          <w:szCs w:val="23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Normal"/>
        <w:jc w:val="both"/>
        <w:rPr>
          <w:rFonts w:ascii="Times New Roman" w:hAnsi="Times New Roman" w:cs="Arial"/>
          <w:b/>
          <w:sz w:val="23"/>
          <w:szCs w:val="23"/>
        </w:rPr>
      </w:pPr>
      <w:r>
        <w:rPr>
          <w:rFonts w:cs="Arial"/>
          <w:b/>
          <w:sz w:val="23"/>
          <w:szCs w:val="23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color w:val="000000"/>
          <w:sz w:val="23"/>
          <w:szCs w:val="23"/>
        </w:rPr>
        <w:t>2. LOCAL DE ENTREGA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eastAsia="Calibri" w:cs="Arial"/>
          <w:color w:val="000000"/>
          <w:sz w:val="23"/>
          <w:szCs w:val="23"/>
          <w:lang w:eastAsia="en-US"/>
        </w:rPr>
        <w:t>Rua Ivan Luiz Barcelos, nº 104, Bairro Glória, São Gabriel da Palha.</w:t>
      </w:r>
    </w:p>
    <w:p>
      <w:pPr>
        <w:pStyle w:val="Normal"/>
        <w:jc w:val="both"/>
        <w:rPr>
          <w:rFonts w:ascii="Times New Roman" w:hAnsi="Times New Roman" w:cs="Arial"/>
          <w:b/>
          <w:sz w:val="23"/>
          <w:szCs w:val="23"/>
        </w:rPr>
      </w:pPr>
      <w:r>
        <w:rPr>
          <w:rFonts w:cs="Arial"/>
          <w:b/>
          <w:sz w:val="23"/>
          <w:szCs w:val="23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sz w:val="23"/>
          <w:szCs w:val="23"/>
        </w:rPr>
        <w:t>3. CONTATO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sz w:val="23"/>
          <w:szCs w:val="23"/>
        </w:rPr>
        <w:t xml:space="preserve">E-mail: </w:t>
      </w:r>
      <w:r>
        <w:rPr>
          <w:rFonts w:cs="Arial"/>
          <w:sz w:val="23"/>
          <w:szCs w:val="23"/>
        </w:rPr>
        <w:t>administracao@saogabriel.es.gov.br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sz w:val="23"/>
          <w:szCs w:val="23"/>
        </w:rPr>
        <w:t xml:space="preserve">Responsável: </w:t>
      </w:r>
      <w:r>
        <w:rPr>
          <w:rFonts w:cs="Arial"/>
          <w:sz w:val="23"/>
          <w:szCs w:val="23"/>
        </w:rPr>
        <w:t>Secretaria Municipal de Administração</w:t>
      </w:r>
    </w:p>
    <w:p>
      <w:pPr>
        <w:pStyle w:val="Normal"/>
        <w:jc w:val="both"/>
        <w:rPr>
          <w:rFonts w:ascii="Times New Roman" w:hAnsi="Times New Roman" w:cs="Arial"/>
          <w:b/>
          <w:sz w:val="23"/>
          <w:szCs w:val="23"/>
        </w:rPr>
      </w:pPr>
      <w:r>
        <w:rPr>
          <w:rFonts w:cs="Arial"/>
          <w:b/>
          <w:sz w:val="23"/>
          <w:szCs w:val="23"/>
        </w:rPr>
      </w:r>
    </w:p>
    <w:p>
      <w:pPr>
        <w:pStyle w:val="Normal"/>
        <w:shd w:val="clear" w:color="auto" w:fill="FFFFFF"/>
        <w:spacing w:lineRule="auto" w:line="276"/>
        <w:jc w:val="both"/>
        <w:textAlignment w:val="baseline"/>
        <w:rPr>
          <w:rFonts w:ascii="Times New Roman" w:hAnsi="Times New Roman"/>
          <w:sz w:val="23"/>
          <w:szCs w:val="23"/>
        </w:rPr>
      </w:pPr>
      <w:r>
        <w:rPr>
          <w:rFonts w:cs="Calibri"/>
          <w:b/>
          <w:bCs/>
          <w:color w:val="000000"/>
          <w:sz w:val="23"/>
          <w:szCs w:val="23"/>
          <w:lang w:eastAsia="pt-BR"/>
        </w:rPr>
        <w:t>4. PREVISÃO NO PLANO DE CONTRATAÇÕES ANUAL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eastAsia="Arial" w:cs="Arial"/>
          <w:b/>
          <w:bCs/>
          <w:sz w:val="23"/>
          <w:szCs w:val="23"/>
        </w:rPr>
        <w:t xml:space="preserve">4.1. </w:t>
      </w:r>
      <w:r>
        <w:rPr>
          <w:rFonts w:eastAsia="Arial" w:cs="Arial"/>
          <w:sz w:val="23"/>
          <w:szCs w:val="23"/>
        </w:rPr>
        <w:t>A contratação pretendida tem consonância com o planejamento estratégico desta Instituição.</w:t>
      </w:r>
    </w:p>
    <w:p>
      <w:pPr>
        <w:pStyle w:val="Normal"/>
        <w:jc w:val="both"/>
        <w:rPr>
          <w:rFonts w:ascii="Times New Roman" w:hAnsi="Times New Roman" w:cs="Arial"/>
          <w:b/>
          <w:sz w:val="23"/>
          <w:szCs w:val="23"/>
        </w:rPr>
      </w:pPr>
      <w:r>
        <w:rPr>
          <w:rFonts w:cs="Arial"/>
          <w:b/>
          <w:sz w:val="23"/>
          <w:szCs w:val="23"/>
        </w:rPr>
      </w:r>
    </w:p>
    <w:p>
      <w:pPr>
        <w:pStyle w:val="Heading3"/>
        <w:spacing w:lineRule="auto" w:line="276"/>
        <w:rPr/>
      </w:pPr>
      <w:r>
        <w:rPr>
          <w:rStyle w:val="Strong"/>
          <w:b/>
          <w:sz w:val="23"/>
          <w:szCs w:val="23"/>
        </w:rPr>
        <w:t>5. IDENTIFICAÇÃO DA DEMANDA</w:t>
      </w:r>
    </w:p>
    <w:p>
      <w:pPr>
        <w:pStyle w:val="BodyText"/>
        <w:spacing w:lineRule="auto" w:line="276" w:before="0" w:after="0"/>
        <w:jc w:val="both"/>
        <w:rPr/>
      </w:pPr>
      <w:r>
        <w:rPr>
          <w:b/>
          <w:bCs/>
          <w:sz w:val="23"/>
          <w:szCs w:val="23"/>
        </w:rPr>
        <w:t>5.1.</w:t>
      </w:r>
      <w:r>
        <w:rPr>
          <w:sz w:val="23"/>
          <w:szCs w:val="23"/>
        </w:rPr>
        <w:t xml:space="preserve"> A presente demanda refere-se à </w:t>
      </w:r>
      <w:r>
        <w:rPr>
          <w:rStyle w:val="Strong"/>
          <w:b w:val="false"/>
          <w:bCs w:val="false"/>
          <w:sz w:val="23"/>
          <w:szCs w:val="23"/>
        </w:rPr>
        <w:t>necessidade de dar continuidade à obra de reforma e ampliação da Câmara Municipal de São Gabriel da Palha</w:t>
      </w:r>
      <w:r>
        <w:rPr>
          <w:sz w:val="23"/>
          <w:szCs w:val="23"/>
        </w:rPr>
        <w:t xml:space="preserve">, tendo em vista que a execução atual não será suficiente para o cumprimento integral das normas técnicas estabelecidas pelo </w:t>
      </w:r>
      <w:r>
        <w:rPr>
          <w:rStyle w:val="Strong"/>
          <w:b w:val="false"/>
          <w:bCs w:val="false"/>
          <w:sz w:val="23"/>
          <w:szCs w:val="23"/>
        </w:rPr>
        <w:t>Corpo de Bombeiros Militar do Espírito Santo (CBMES)</w:t>
      </w:r>
      <w:r>
        <w:rPr>
          <w:sz w:val="23"/>
          <w:szCs w:val="23"/>
        </w:rPr>
        <w:t>, órgão responsável pela vistoria e emissão do alvará de funcionamento.</w:t>
      </w:r>
    </w:p>
    <w:p>
      <w:pPr>
        <w:pStyle w:val="BodyText"/>
        <w:spacing w:before="0" w:after="0"/>
        <w:jc w:val="both"/>
        <w:rPr>
          <w:rFonts w:ascii="Times New Roman" w:hAnsi="Times New Roman"/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sz w:val="23"/>
          <w:szCs w:val="23"/>
        </w:rPr>
        <w:t>6. DESCRIÇÃO DA NECESSIDADE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6.1. </w:t>
      </w:r>
      <w:r>
        <w:rPr>
          <w:rFonts w:cs="Arial"/>
          <w:color w:val="000000"/>
          <w:sz w:val="23"/>
          <w:szCs w:val="23"/>
        </w:rPr>
        <w:t>Contratação de empresa especializada, por meio de licitação, com locomoção e mão de obra necessária para a execução dos serviços, haja vista que a Municipalidade não dispõe de mão de obra e equipamentos em quantidade e com qualificação adequada para executar a obra.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bCs/>
          <w:color w:val="000000"/>
          <w:sz w:val="23"/>
          <w:szCs w:val="23"/>
        </w:rPr>
        <w:t xml:space="preserve">6.2. </w:t>
      </w:r>
      <w:r>
        <w:rPr>
          <w:rFonts w:cs="Arial"/>
          <w:bCs/>
          <w:color w:val="000000"/>
          <w:sz w:val="23"/>
          <w:szCs w:val="23"/>
        </w:rPr>
        <w:t>Considerando as necessidades específicas do local, a segurança dos ocupantes, a eficiência operacional e o cumprimento das regulamentações aplicáveis ao planejar uma reforma e ampliação, visando garantir a funcionalidade e a durabilidade do prédio da Câmara Municipal.</w:t>
      </w:r>
    </w:p>
    <w:p>
      <w:pPr>
        <w:pStyle w:val="BodyText"/>
        <w:spacing w:lineRule="auto" w:line="276"/>
        <w:jc w:val="both"/>
        <w:rPr/>
      </w:pPr>
      <w:r>
        <w:rPr>
          <w:b/>
          <w:bCs/>
          <w:sz w:val="23"/>
          <w:szCs w:val="23"/>
        </w:rPr>
        <w:t xml:space="preserve">6.3. </w:t>
      </w:r>
      <w:r>
        <w:rPr>
          <w:sz w:val="23"/>
          <w:szCs w:val="23"/>
        </w:rPr>
        <w:t xml:space="preserve">O objetivo deste ETP é possibilitar a </w:t>
      </w:r>
      <w:r>
        <w:rPr>
          <w:rStyle w:val="Strong"/>
          <w:b w:val="false"/>
          <w:bCs w:val="false"/>
          <w:sz w:val="23"/>
          <w:szCs w:val="23"/>
        </w:rPr>
        <w:t>contratação de serviços complementares de engenharia</w:t>
      </w:r>
      <w:r>
        <w:rPr>
          <w:sz w:val="23"/>
          <w:szCs w:val="23"/>
        </w:rPr>
        <w:t xml:space="preserve">, com vistas à finalização da reforma e ampliação da Câmara Municipal, </w:t>
      </w:r>
      <w:r>
        <w:rPr>
          <w:rStyle w:val="Strong"/>
          <w:b w:val="false"/>
          <w:bCs w:val="false"/>
          <w:sz w:val="23"/>
          <w:szCs w:val="23"/>
        </w:rPr>
        <w:t>atendendo todas as diretrizes técnicas exigidas pelo CBMES</w:t>
      </w:r>
      <w:r>
        <w:rPr>
          <w:sz w:val="23"/>
          <w:szCs w:val="23"/>
        </w:rPr>
        <w:t>, conforme estabelecido nos seguintes documentos: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sz w:val="23"/>
          <w:szCs w:val="23"/>
        </w:rPr>
        <w:t>Memória de Cálculo;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sz w:val="23"/>
          <w:szCs w:val="23"/>
        </w:rPr>
        <w:t>Memorial Descritivo;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sz w:val="23"/>
          <w:szCs w:val="23"/>
        </w:rPr>
        <w:t>Planilha Orçamentária;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sz w:val="23"/>
          <w:szCs w:val="23"/>
        </w:rPr>
        <w:t>Cronograma Físico-Financeiro.</w:t>
      </w:r>
    </w:p>
    <w:p>
      <w:pPr>
        <w:pStyle w:val="ListParagraph"/>
        <w:spacing w:before="0" w:after="0"/>
        <w:ind w:left="0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eastAsia="Arial" w:cs="Arial" w:ascii="Times New Roman" w:hAnsi="Times New Roman"/>
          <w:b/>
          <w:bCs/>
          <w:sz w:val="23"/>
          <w:szCs w:val="23"/>
        </w:rPr>
        <w:t xml:space="preserve">6.4. </w:t>
      </w:r>
      <w:r>
        <w:rPr>
          <w:rFonts w:eastAsia="Arial" w:cs="Arial" w:ascii="Times New Roman" w:hAnsi="Times New Roman"/>
          <w:sz w:val="23"/>
          <w:szCs w:val="23"/>
        </w:rPr>
        <w:t>Diante da necessidade acima, iniciou-se o presente Estudo Técnico Preliminar por meio do qual será possível decidir qual é a melhor solução.</w:t>
      </w:r>
    </w:p>
    <w:p>
      <w:pPr>
        <w:pStyle w:val="Normal"/>
        <w:spacing w:lineRule="auto" w:line="276"/>
        <w:rPr>
          <w:rFonts w:ascii="Times New Roman" w:hAnsi="Times New Roman"/>
          <w:sz w:val="23"/>
          <w:szCs w:val="23"/>
        </w:rPr>
      </w:pPr>
      <w:r>
        <w:rPr>
          <w:rFonts w:cs="Arial"/>
          <w:b/>
          <w:iCs/>
          <w:sz w:val="23"/>
          <w:szCs w:val="23"/>
        </w:rPr>
        <w:t>7. ÁREA REQUISITANTE</w:t>
      </w:r>
    </w:p>
    <w:p>
      <w:pPr>
        <w:pStyle w:val="Normal"/>
        <w:spacing w:lineRule="auto" w:line="276"/>
        <w:rPr>
          <w:rFonts w:ascii="Times New Roman" w:hAnsi="Times New Roman"/>
          <w:sz w:val="23"/>
          <w:szCs w:val="23"/>
        </w:rPr>
      </w:pPr>
      <w:r>
        <w:rPr>
          <w:rFonts w:eastAsia="Arial" w:cs="Arial"/>
          <w:sz w:val="23"/>
          <w:szCs w:val="23"/>
        </w:rPr>
        <w:t>Secretaria Municipal de Administração.</w:t>
      </w:r>
    </w:p>
    <w:p>
      <w:pPr>
        <w:pStyle w:val="Normal"/>
        <w:spacing w:lineRule="auto" w:line="240"/>
        <w:rPr>
          <w:rFonts w:ascii="Times New Roman" w:hAnsi="Times New Roman"/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eastAsia="Arial" w:cs="Arial"/>
          <w:b/>
          <w:color w:val="000000"/>
          <w:sz w:val="23"/>
          <w:szCs w:val="23"/>
        </w:rPr>
        <w:t>8. DESCRIÇÃO DOS REQUISITOS DA CONTRATAÇÃO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eastAsia="Arial" w:cs="Arial"/>
          <w:b/>
          <w:bCs/>
          <w:color w:val="000000"/>
          <w:sz w:val="23"/>
          <w:szCs w:val="23"/>
        </w:rPr>
        <w:t>8.1.</w:t>
      </w:r>
      <w:r>
        <w:rPr>
          <w:rFonts w:eastAsia="Arial" w:cs="Arial"/>
          <w:color w:val="000000"/>
          <w:sz w:val="23"/>
          <w:szCs w:val="23"/>
        </w:rPr>
        <w:t xml:space="preserve"> Os requisitos da contratação devem contemplar as exigências que a contratada deverá atender, incluindo os requisitos mínimos de qualidade, de modo a possibilitar a seleção da proposta mais vantajosa, sendo sagrada vencedora o fornecedor apresentar o menor preço global.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eastAsia="Arial" w:cs="Arial"/>
          <w:b/>
          <w:bCs/>
          <w:sz w:val="23"/>
          <w:szCs w:val="23"/>
        </w:rPr>
        <w:t>8.2.</w:t>
      </w:r>
      <w:r>
        <w:rPr>
          <w:rFonts w:eastAsia="Arial" w:cs="Arial"/>
          <w:sz w:val="23"/>
          <w:szCs w:val="23"/>
        </w:rPr>
        <w:t xml:space="preserve"> A contratação deverá obedecer, no que couber, ao disposto na Lei n.º 14.133/2021 e suas alterações e demais legislações correlatas.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sz w:val="23"/>
          <w:szCs w:val="23"/>
        </w:rPr>
        <w:t>8.3.</w:t>
      </w:r>
      <w:r>
        <w:rPr>
          <w:rFonts w:cs="Arial"/>
          <w:sz w:val="23"/>
          <w:szCs w:val="23"/>
        </w:rPr>
        <w:t xml:space="preserve"> Os serviços deverão ser executados de acordo com o cronograma estabelecido nas planilhas e projetos, sendo de inteira responsabilidade da contratada os serviços de transporte e disponibilização dos equipamentos, materiais e mão de obra;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sz w:val="23"/>
          <w:szCs w:val="23"/>
        </w:rPr>
        <w:t>8.4.</w:t>
      </w:r>
      <w:r>
        <w:rPr>
          <w:rFonts w:cs="Arial"/>
          <w:sz w:val="23"/>
          <w:szCs w:val="23"/>
        </w:rPr>
        <w:t xml:space="preserve"> O prazo para execução dos serviços requisitados será de acordo com o cronograma de execução; 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sz w:val="23"/>
          <w:szCs w:val="23"/>
        </w:rPr>
        <w:t>8.5.</w:t>
      </w:r>
      <w:r>
        <w:rPr>
          <w:rFonts w:cs="Arial"/>
          <w:sz w:val="23"/>
          <w:szCs w:val="23"/>
        </w:rPr>
        <w:t xml:space="preserve"> Nos preços apresentados deverão estar incluídas todas as despesas com mão de obra, materiais, encargos trabalhistas, previdenciários, fiscais, comerciais, despesas e obrigações financeiras de qualquer natureza e outras despesas, diretas e indiretas, inclusive lucro, necessários à perfeita execução da obra;</w:t>
      </w:r>
    </w:p>
    <w:p>
      <w:pPr>
        <w:pStyle w:val="Normal"/>
        <w:jc w:val="both"/>
        <w:rPr>
          <w:rFonts w:ascii="Times New Roman" w:hAnsi="Times New Roman" w:cs="Arial"/>
          <w:sz w:val="23"/>
          <w:szCs w:val="23"/>
        </w:rPr>
      </w:pPr>
      <w:r>
        <w:rPr>
          <w:rFonts w:cs="Arial"/>
          <w:sz w:val="23"/>
          <w:szCs w:val="23"/>
        </w:rPr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sz w:val="23"/>
          <w:szCs w:val="23"/>
        </w:rPr>
        <w:t>9. ESTIMATIVA DAS QUANTIDADES A SEREM CONTRATADA</w:t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bCs/>
          <w:sz w:val="23"/>
          <w:szCs w:val="23"/>
        </w:rPr>
        <w:t xml:space="preserve">9.1. </w:t>
      </w:r>
      <w:r>
        <w:rPr>
          <w:bCs/>
          <w:sz w:val="23"/>
          <w:szCs w:val="23"/>
        </w:rPr>
        <w:t>A relação dos itens necessários para contemplar a solução, bem como a quantidade a ser contratada está descrita detalhadamente nas planilhas e memórias de cálculo partes integrantes deste processo.</w:t>
      </w:r>
    </w:p>
    <w:p>
      <w:pPr>
        <w:pStyle w:val="Normal"/>
        <w:suppressAutoHyphens w:val="false"/>
        <w:jc w:val="both"/>
        <w:rPr>
          <w:rFonts w:ascii="Times New Roman" w:hAnsi="Times New Roman" w:cs="Arial"/>
          <w:color w:val="000000"/>
          <w:sz w:val="23"/>
          <w:szCs w:val="23"/>
        </w:rPr>
      </w:pPr>
      <w:r>
        <w:rPr>
          <w:rFonts w:cs="Arial"/>
          <w:color w:val="000000"/>
          <w:sz w:val="23"/>
          <w:szCs w:val="23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eastAsia="Arial" w:cs="Arial"/>
          <w:b/>
          <w:sz w:val="23"/>
          <w:szCs w:val="23"/>
        </w:rPr>
        <w:t>10. LEVANTAMENTO DE MERCADO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eastAsia="Arial" w:cs="Arial"/>
          <w:b/>
          <w:sz w:val="23"/>
          <w:szCs w:val="23"/>
        </w:rPr>
        <w:t xml:space="preserve">10.1 </w:t>
      </w:r>
      <w:r>
        <w:rPr>
          <w:rFonts w:cs="Arial"/>
          <w:color w:val="000000"/>
          <w:sz w:val="23"/>
          <w:szCs w:val="23"/>
        </w:rPr>
        <w:t>Conforme preceitua o Decreto n° 3.268/2022,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bCs/>
          <w:color w:val="000000"/>
          <w:sz w:val="23"/>
          <w:szCs w:val="23"/>
        </w:rPr>
        <w:t xml:space="preserve">10.2. </w:t>
      </w:r>
      <w:r>
        <w:rPr>
          <w:rFonts w:eastAsia="Arial" w:cs="Arial"/>
          <w:color w:val="000000"/>
          <w:sz w:val="23"/>
          <w:szCs w:val="23"/>
        </w:rPr>
        <w:t>Conforme documentos orçamentários, planilhas e cronogramas que compõem o processo.</w:t>
      </w:r>
    </w:p>
    <w:p>
      <w:pPr>
        <w:pStyle w:val="Normal"/>
        <w:jc w:val="both"/>
        <w:rPr>
          <w:rFonts w:ascii="Times New Roman" w:hAnsi="Times New Roman" w:cs="Arial"/>
          <w:color w:val="000000"/>
          <w:sz w:val="23"/>
          <w:szCs w:val="23"/>
        </w:rPr>
      </w:pPr>
      <w:r>
        <w:rPr>
          <w:rFonts w:cs="Arial"/>
          <w:color w:val="000000"/>
          <w:sz w:val="23"/>
          <w:szCs w:val="23"/>
        </w:rPr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color w:val="000000"/>
          <w:sz w:val="23"/>
          <w:szCs w:val="23"/>
        </w:rPr>
        <w:t>11. DESCRIÇÃO DA SOLUÇÃO COMO UM TODO</w:t>
      </w:r>
    </w:p>
    <w:p>
      <w:pPr>
        <w:pStyle w:val="ListParagraph"/>
        <w:spacing w:before="0" w:after="0"/>
        <w:ind w:left="0"/>
        <w:contextualSpacing/>
        <w:jc w:val="both"/>
        <w:rPr/>
      </w:pPr>
      <w:r>
        <w:rPr>
          <w:rFonts w:cs="Arial" w:ascii="Times New Roman" w:hAnsi="Times New Roman"/>
          <w:b/>
          <w:sz w:val="23"/>
          <w:szCs w:val="23"/>
        </w:rPr>
        <w:t>11.1</w:t>
      </w:r>
      <w:r>
        <w:rPr>
          <w:rFonts w:cs="Arial" w:ascii="Times New Roman" w:hAnsi="Times New Roman"/>
          <w:sz w:val="23"/>
          <w:szCs w:val="23"/>
        </w:rPr>
        <w:t xml:space="preserve"> A solução a ser adotada consiste em </w:t>
      </w:r>
      <w:r>
        <w:rPr>
          <w:rFonts w:cs="Arial" w:ascii="Times New Roman" w:hAnsi="Times New Roman"/>
          <w:bCs/>
          <w:sz w:val="23"/>
          <w:szCs w:val="23"/>
        </w:rPr>
        <w:t>prestação de</w:t>
      </w:r>
      <w:r>
        <w:rPr>
          <w:rFonts w:cs="Arial" w:ascii="Times New Roman" w:hAnsi="Times New Roman"/>
          <w:b/>
          <w:sz w:val="23"/>
          <w:szCs w:val="23"/>
        </w:rPr>
        <w:t xml:space="preserve"> </w:t>
      </w:r>
      <w:r>
        <w:rPr>
          <w:rFonts w:cs="Arial" w:ascii="Times New Roman" w:hAnsi="Times New Roman"/>
          <w:bCs/>
          <w:sz w:val="23"/>
          <w:szCs w:val="23"/>
        </w:rPr>
        <w:t xml:space="preserve">serviços </w:t>
      </w:r>
      <w:r>
        <w:rPr>
          <w:rFonts w:cs="Arial" w:ascii="Times New Roman" w:hAnsi="Times New Roman"/>
          <w:sz w:val="23"/>
          <w:szCs w:val="23"/>
        </w:rPr>
        <w:t xml:space="preserve">contratação de empresa especializada para </w:t>
      </w:r>
      <w:r>
        <w:rPr>
          <w:rStyle w:val="Strong"/>
          <w:rFonts w:cs="Arial" w:ascii="Times New Roman" w:hAnsi="Times New Roman"/>
          <w:b w:val="false"/>
          <w:bCs w:val="false"/>
          <w:sz w:val="23"/>
          <w:szCs w:val="23"/>
        </w:rPr>
        <w:t>continuidade da obra de reforma e ampliação da Câmara Municipal de São Gabriel da Palha</w:t>
      </w:r>
      <w:r>
        <w:rPr>
          <w:rFonts w:cs="Arial" w:ascii="Times New Roman" w:hAnsi="Times New Roman"/>
          <w:sz w:val="23"/>
          <w:szCs w:val="23"/>
        </w:rPr>
        <w:t>, para que esta atenda integralmente às exigências legais e normativas do CBM-ES. Recomenda-se a elaboração de procedimento licitatório conforme legislação vigente (Lei nº 14.133/2021), utilizando os elementos técnicos já disponíveis (projeto, memorial, orçamento e cronograma), com vistas à regular a conclusão da obra e sua posterior liberação para funcionamento,</w:t>
      </w:r>
      <w:r>
        <w:rPr>
          <w:rFonts w:cs="Arial" w:ascii="Times New Roman" w:hAnsi="Times New Roman"/>
          <w:bCs/>
          <w:sz w:val="23"/>
          <w:szCs w:val="23"/>
        </w:rPr>
        <w:t xml:space="preserve"> com fornecimento de material e mão de obra necessária para a execução dos serviços</w:t>
      </w:r>
      <w:r>
        <w:rPr>
          <w:rFonts w:cs="Arial" w:ascii="Times New Roman" w:hAnsi="Times New Roman"/>
          <w:sz w:val="23"/>
          <w:szCs w:val="23"/>
        </w:rPr>
        <w:t>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sz w:val="23"/>
          <w:szCs w:val="23"/>
        </w:rPr>
        <w:t xml:space="preserve">11.2 </w:t>
      </w:r>
      <w:r>
        <w:rPr>
          <w:rFonts w:cs="Arial"/>
          <w:sz w:val="23"/>
          <w:szCs w:val="23"/>
        </w:rPr>
        <w:t>A contratação da prestação de serviços deverá obedecer, no que couber, ao disposto na Lei n.º 14.133/2021 e suas alterações.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bCs/>
          <w:sz w:val="23"/>
          <w:szCs w:val="23"/>
        </w:rPr>
        <w:t xml:space="preserve">11.3 </w:t>
      </w:r>
      <w:r>
        <w:rPr>
          <w:rFonts w:cs="Arial"/>
          <w:sz w:val="23"/>
          <w:szCs w:val="23"/>
        </w:rPr>
        <w:t>Os serviços deverão ser executados de acordo com o cronograma estabelecido nas planilhas e projetos, sendo de inteira responsabilidade da contratada os serviços de transporte e disponibilização dos equipamentos, materiais e mão de obra;</w:t>
      </w:r>
    </w:p>
    <w:p>
      <w:pPr>
        <w:pStyle w:val="Normal"/>
        <w:jc w:val="both"/>
        <w:rPr>
          <w:rFonts w:ascii="Times New Roman" w:hAnsi="Times New Roman"/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sz w:val="23"/>
          <w:szCs w:val="23"/>
        </w:rPr>
        <w:t>12. ESTIMATIVA DO VALOR DA CONTRATAÇÃO:</w:t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bCs/>
          <w:sz w:val="23"/>
          <w:szCs w:val="23"/>
        </w:rPr>
        <w:t xml:space="preserve">12.1. </w:t>
      </w:r>
      <w:r>
        <w:rPr>
          <w:rFonts w:cs="Arial"/>
          <w:sz w:val="23"/>
          <w:szCs w:val="23"/>
        </w:rPr>
        <w:t xml:space="preserve">O valor estimado da contratação é de R$ </w:t>
      </w:r>
      <w:r>
        <w:rPr>
          <w:rFonts w:cs="Arial"/>
          <w:sz w:val="23"/>
          <w:szCs w:val="23"/>
        </w:rPr>
        <w:t>236.536,09</w:t>
      </w:r>
      <w:r>
        <w:rPr>
          <w:rFonts w:cs="Arial"/>
          <w:sz w:val="23"/>
          <w:szCs w:val="23"/>
        </w:rPr>
        <w:t xml:space="preserve"> (duzentos e </w:t>
      </w:r>
      <w:r>
        <w:rPr>
          <w:rFonts w:cs="Arial"/>
          <w:sz w:val="23"/>
          <w:szCs w:val="23"/>
        </w:rPr>
        <w:t>trinta e seis</w:t>
      </w:r>
      <w:r>
        <w:rPr>
          <w:rFonts w:cs="Arial"/>
          <w:sz w:val="23"/>
          <w:szCs w:val="23"/>
        </w:rPr>
        <w:t xml:space="preserve"> mil, </w:t>
      </w:r>
      <w:r>
        <w:rPr>
          <w:rFonts w:cs="Arial"/>
          <w:sz w:val="23"/>
          <w:szCs w:val="23"/>
        </w:rPr>
        <w:t>quinhentos</w:t>
      </w:r>
      <w:r>
        <w:rPr>
          <w:rFonts w:cs="Arial"/>
          <w:sz w:val="23"/>
          <w:szCs w:val="23"/>
        </w:rPr>
        <w:t xml:space="preserve"> e </w:t>
      </w:r>
      <w:r>
        <w:rPr>
          <w:rFonts w:cs="Arial"/>
          <w:sz w:val="23"/>
          <w:szCs w:val="23"/>
        </w:rPr>
        <w:t>trinta e seis</w:t>
      </w:r>
      <w:r>
        <w:rPr>
          <w:rFonts w:cs="Arial"/>
          <w:sz w:val="23"/>
          <w:szCs w:val="23"/>
        </w:rPr>
        <w:t xml:space="preserve"> reais e </w:t>
      </w:r>
      <w:r>
        <w:rPr>
          <w:rFonts w:cs="Arial"/>
          <w:sz w:val="23"/>
          <w:szCs w:val="23"/>
        </w:rPr>
        <w:t>nove</w:t>
      </w:r>
      <w:r>
        <w:rPr>
          <w:rFonts w:cs="Arial"/>
          <w:sz w:val="23"/>
          <w:szCs w:val="23"/>
        </w:rPr>
        <w:t xml:space="preserve"> centavos) constante na planilha que segue.</w:t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bCs/>
          <w:color w:val="111111"/>
          <w:sz w:val="23"/>
          <w:szCs w:val="23"/>
        </w:rPr>
        <w:t>12.2</w:t>
      </w:r>
      <w:r>
        <w:rPr>
          <w:rFonts w:cs="Arial"/>
          <w:color w:val="111111"/>
          <w:sz w:val="23"/>
          <w:szCs w:val="23"/>
        </w:rPr>
        <w:t xml:space="preserve"> A relação dos itens necessários para contemplar a solução, bem como a estimativa da quantidade, estimativa de preço de mercado, serão conforme</w:t>
      </w:r>
      <w:r>
        <w:rPr>
          <w:rFonts w:eastAsia="Arial" w:cs="Arial"/>
          <w:color w:val="111111"/>
          <w:sz w:val="23"/>
          <w:szCs w:val="23"/>
        </w:rPr>
        <w:t xml:space="preserve"> planilhas orçamentárias elaboradas pela Secretaria Municipal de Obras e Desenvolvimento Urbano.</w:t>
      </w:r>
    </w:p>
    <w:p>
      <w:pPr>
        <w:pStyle w:val="Normal"/>
        <w:suppressAutoHyphens w:val="false"/>
        <w:jc w:val="both"/>
        <w:rPr>
          <w:rFonts w:ascii="Times New Roman" w:hAnsi="Times New Roman" w:cs="Arial"/>
          <w:b/>
          <w:color w:val="111111"/>
          <w:sz w:val="23"/>
          <w:szCs w:val="23"/>
        </w:rPr>
      </w:pPr>
      <w:r>
        <w:rPr>
          <w:rFonts w:cs="Arial"/>
          <w:b/>
          <w:color w:val="111111"/>
          <w:sz w:val="23"/>
          <w:szCs w:val="23"/>
        </w:rPr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color w:val="000000"/>
          <w:sz w:val="23"/>
          <w:szCs w:val="23"/>
        </w:rPr>
        <w:t>13. JUSTIFICATIVA PARA O PARCELAMENTO OU NÃO DA SOLUÇÃO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color w:val="111111"/>
          <w:sz w:val="23"/>
          <w:szCs w:val="23"/>
        </w:rPr>
        <w:t xml:space="preserve">13.1 </w:t>
      </w:r>
      <w:r>
        <w:rPr>
          <w:rFonts w:cs="Arial"/>
          <w:color w:val="111111"/>
          <w:sz w:val="23"/>
          <w:szCs w:val="23"/>
        </w:rPr>
        <w:t xml:space="preserve">O objeto da contratação será composto por </w:t>
      </w:r>
      <w:r>
        <w:rPr>
          <w:rFonts w:cs="Arial"/>
          <w:color w:val="000000"/>
          <w:sz w:val="23"/>
          <w:szCs w:val="23"/>
        </w:rPr>
        <w:t>01 item,</w:t>
      </w:r>
      <w:r>
        <w:rPr>
          <w:rFonts w:cs="Arial"/>
          <w:color w:val="111111"/>
          <w:sz w:val="23"/>
          <w:szCs w:val="23"/>
        </w:rPr>
        <w:t xml:space="preserve"> de preço total orçado pela administração de R$ </w:t>
      </w:r>
      <w:r>
        <w:rPr>
          <w:rFonts w:cs="Arial"/>
          <w:color w:val="111111"/>
          <w:sz w:val="23"/>
          <w:szCs w:val="23"/>
        </w:rPr>
        <w:t>236.536,09</w:t>
      </w:r>
      <w:r>
        <w:rPr>
          <w:rFonts w:cs="Arial"/>
          <w:color w:val="111111"/>
          <w:sz w:val="23"/>
          <w:szCs w:val="23"/>
        </w:rPr>
        <w:t xml:space="preserve"> (duzentos e </w:t>
      </w:r>
      <w:r>
        <w:rPr>
          <w:rFonts w:cs="Arial"/>
          <w:color w:val="111111"/>
          <w:sz w:val="23"/>
          <w:szCs w:val="23"/>
        </w:rPr>
        <w:t>trinta e seis</w:t>
      </w:r>
      <w:r>
        <w:rPr>
          <w:rFonts w:cs="Arial"/>
          <w:color w:val="111111"/>
          <w:sz w:val="23"/>
          <w:szCs w:val="23"/>
        </w:rPr>
        <w:t xml:space="preserve"> mil, </w:t>
      </w:r>
      <w:r>
        <w:rPr>
          <w:rFonts w:cs="Arial"/>
          <w:color w:val="111111"/>
          <w:sz w:val="23"/>
          <w:szCs w:val="23"/>
        </w:rPr>
        <w:t>quinhentos</w:t>
      </w:r>
      <w:r>
        <w:rPr>
          <w:rFonts w:cs="Arial"/>
          <w:color w:val="111111"/>
          <w:sz w:val="23"/>
          <w:szCs w:val="23"/>
        </w:rPr>
        <w:t xml:space="preserve"> e </w:t>
      </w:r>
      <w:r>
        <w:rPr>
          <w:rFonts w:cs="Arial"/>
          <w:color w:val="111111"/>
          <w:sz w:val="23"/>
          <w:szCs w:val="23"/>
        </w:rPr>
        <w:t>trinta e seis</w:t>
      </w:r>
      <w:r>
        <w:rPr>
          <w:rFonts w:cs="Arial"/>
          <w:color w:val="111111"/>
          <w:sz w:val="23"/>
          <w:szCs w:val="23"/>
        </w:rPr>
        <w:t xml:space="preserve"> reais e </w:t>
      </w:r>
      <w:r>
        <w:rPr>
          <w:rFonts w:cs="Arial"/>
          <w:color w:val="111111"/>
          <w:sz w:val="23"/>
          <w:szCs w:val="23"/>
        </w:rPr>
        <w:t>nove</w:t>
      </w:r>
      <w:r>
        <w:rPr>
          <w:rFonts w:cs="Arial"/>
          <w:color w:val="111111"/>
          <w:sz w:val="23"/>
          <w:szCs w:val="23"/>
        </w:rPr>
        <w:t xml:space="preserve"> centavos). Para</w:t>
      </w:r>
      <w:r>
        <w:rPr>
          <w:rFonts w:cs="Arial"/>
          <w:sz w:val="23"/>
          <w:szCs w:val="23"/>
        </w:rPr>
        <w:t xml:space="preserve"> fins de classificação, será considerado o menor preço.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>
      <w:pPr>
        <w:pStyle w:val="Normal"/>
        <w:ind w:right="-425"/>
        <w:jc w:val="both"/>
        <w:rPr>
          <w:rFonts w:ascii="Times New Roman" w:hAnsi="Times New Roman"/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sz w:val="23"/>
          <w:szCs w:val="23"/>
        </w:rPr>
        <w:t>14. CONTRATAÇÕES CORRELATAS E/OU INTERDEPENDENTES</w:t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bCs/>
          <w:sz w:val="23"/>
          <w:szCs w:val="23"/>
        </w:rPr>
        <w:t>14.1.</w:t>
      </w:r>
      <w:r>
        <w:rPr>
          <w:rFonts w:cs="Arial"/>
          <w:sz w:val="23"/>
          <w:szCs w:val="23"/>
        </w:rPr>
        <w:t xml:space="preserve"> Não se verifica contratações correlatas ou interdependentes para a viabilidade e contratação desta demanda.</w:t>
      </w:r>
    </w:p>
    <w:p>
      <w:pPr>
        <w:pStyle w:val="Normal"/>
        <w:suppressAutoHyphens w:val="false"/>
        <w:spacing w:lineRule="auto" w:line="24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color w:val="000000"/>
          <w:sz w:val="23"/>
          <w:szCs w:val="23"/>
        </w:rPr>
        <w:t>15. RESULTADOS PRETENDIDOS COM A CONTRATAÇÃO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color w:val="000000"/>
          <w:sz w:val="23"/>
          <w:szCs w:val="23"/>
        </w:rPr>
        <w:t>15.1</w:t>
      </w:r>
      <w:r>
        <w:rPr>
          <w:rFonts w:cs="Arial"/>
          <w:color w:val="000000"/>
          <w:sz w:val="23"/>
          <w:szCs w:val="23"/>
        </w:rPr>
        <w:t xml:space="preserve"> Regularização do funcionamento da Câmara Municipal, com obtenção do alvará do Corpo de Bombeiros, garantia de segurança aos servidores, vereadores e à população, conformidade legal e técnica da edificação pública e e</w:t>
      </w:r>
      <w:r>
        <w:rPr>
          <w:color w:val="000000"/>
          <w:sz w:val="23"/>
          <w:szCs w:val="23"/>
        </w:rPr>
        <w:t>vitar paralisações administrativas e riscos jurídicos</w:t>
      </w:r>
      <w:r>
        <w:rPr>
          <w:rFonts w:cs="Arial"/>
          <w:color w:val="000000"/>
          <w:sz w:val="23"/>
          <w:szCs w:val="23"/>
        </w:rPr>
        <w:t>;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color w:val="000000"/>
          <w:sz w:val="23"/>
          <w:szCs w:val="23"/>
        </w:rPr>
        <w:t>16. PROVIDÊNCIAS A SEREM ADOTADAS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color w:val="000000"/>
          <w:sz w:val="23"/>
          <w:szCs w:val="23"/>
        </w:rPr>
        <w:t xml:space="preserve">16.1. </w:t>
      </w:r>
      <w:r>
        <w:rPr>
          <w:rFonts w:cs="Arial"/>
          <w:color w:val="000000"/>
          <w:sz w:val="23"/>
          <w:szCs w:val="23"/>
        </w:rPr>
        <w:t>Elaborar um contrato detalhado que estabeleça as obrigações, responsabilidades, prazos, formas de pagamento, entre outros aspectos relevantes para a prestação do serviço.</w:t>
      </w:r>
    </w:p>
    <w:p>
      <w:pPr>
        <w:pStyle w:val="BodyText"/>
        <w:spacing w:lineRule="auto" w:line="276" w:before="0" w:after="0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color w:val="000000"/>
          <w:sz w:val="23"/>
          <w:szCs w:val="23"/>
        </w:rPr>
        <w:t xml:space="preserve">16.2. </w:t>
      </w:r>
      <w:r>
        <w:rPr>
          <w:rFonts w:cs="Arial"/>
          <w:color w:val="000000"/>
          <w:sz w:val="23"/>
          <w:szCs w:val="23"/>
        </w:rPr>
        <w:t>Estabelecer mecanismos de acompanhamento e fiscalização do contrato para garantir o cumprimento dos termos acordados e a qualidade dos serviços prestados pela empresa contratada.</w:t>
      </w:r>
    </w:p>
    <w:p>
      <w:pPr>
        <w:pStyle w:val="BodyText"/>
        <w:spacing w:lineRule="auto" w:line="276" w:before="0" w:after="0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color w:val="000000"/>
          <w:sz w:val="23"/>
          <w:szCs w:val="23"/>
        </w:rPr>
        <w:t xml:space="preserve">16.3. </w:t>
      </w:r>
      <w:r>
        <w:rPr>
          <w:rFonts w:cs="Arial"/>
          <w:color w:val="000000"/>
          <w:sz w:val="23"/>
          <w:szCs w:val="23"/>
        </w:rPr>
        <w:t>Realizar o contrato de acordo com os procedimentos internos e legais.</w:t>
      </w:r>
    </w:p>
    <w:p>
      <w:pPr>
        <w:pStyle w:val="Normal"/>
        <w:jc w:val="both"/>
        <w:rPr>
          <w:rFonts w:ascii="Times New Roman" w:hAnsi="Times New Roman"/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color w:val="000000"/>
          <w:sz w:val="23"/>
          <w:szCs w:val="23"/>
        </w:rPr>
        <w:t>17. POSSÍVEIS IMPACTOS AMBIENTAIS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color w:val="000000"/>
          <w:sz w:val="23"/>
          <w:szCs w:val="23"/>
        </w:rPr>
        <w:t>Não se verifica impactos ambientais da contratação.</w:t>
      </w:r>
    </w:p>
    <w:p>
      <w:pPr>
        <w:pStyle w:val="Normal"/>
        <w:jc w:val="both"/>
        <w:rPr>
          <w:rFonts w:ascii="Times New Roman" w:hAnsi="Times New Roman" w:cs="Arial"/>
          <w:color w:val="000000"/>
          <w:sz w:val="23"/>
          <w:szCs w:val="23"/>
        </w:rPr>
      </w:pPr>
      <w:r>
        <w:rPr>
          <w:rFonts w:cs="Arial"/>
          <w:color w:val="000000"/>
          <w:sz w:val="23"/>
          <w:szCs w:val="23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color w:val="000000"/>
          <w:sz w:val="23"/>
          <w:szCs w:val="23"/>
        </w:rPr>
        <w:t>18. DECLARAÇÕES DE VIABILIDADE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bCs/>
          <w:color w:val="000000"/>
          <w:sz w:val="23"/>
          <w:szCs w:val="23"/>
        </w:rPr>
        <w:t xml:space="preserve">18.1 </w:t>
      </w:r>
      <w:r>
        <w:rPr>
          <w:rFonts w:cs="Arial"/>
          <w:color w:val="000000"/>
          <w:sz w:val="23"/>
          <w:szCs w:val="23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jc w:val="both"/>
        <w:rPr>
          <w:rFonts w:ascii="Times New Roman" w:hAnsi="Times New Roman"/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widowControl/>
        <w:suppressAutoHyphens w:val="true"/>
        <w:bidi w:val="0"/>
        <w:spacing w:before="0" w:after="0"/>
        <w:ind w:hanging="0" w:left="0" w:right="0"/>
        <w:jc w:val="both"/>
        <w:rPr>
          <w:rFonts w:ascii="Times New Roman" w:hAnsi="Times New Roman"/>
          <w:sz w:val="23"/>
          <w:szCs w:val="23"/>
        </w:rPr>
      </w:pPr>
      <w:r>
        <w:rPr>
          <w:b/>
          <w:bCs/>
          <w:sz w:val="23"/>
          <w:szCs w:val="23"/>
          <w:lang w:eastAsia="en-US"/>
        </w:rPr>
        <w:t>19. DA HABILITAÇÃO</w:t>
      </w:r>
    </w:p>
    <w:p>
      <w:pPr>
        <w:pStyle w:val="Normal"/>
        <w:widowControl/>
        <w:suppressAutoHyphens w:val="true"/>
        <w:bidi w:val="0"/>
        <w:spacing w:before="0" w:after="0"/>
        <w:ind w:hanging="0" w:left="0" w:righ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/>
          <w:b/>
          <w:bCs/>
          <w:sz w:val="23"/>
          <w:szCs w:val="23"/>
          <w:lang w:eastAsia="ar-SA"/>
        </w:rPr>
        <w:t>19.1</w:t>
      </w:r>
      <w:r>
        <w:rPr>
          <w:rFonts w:cs="Verdana"/>
          <w:sz w:val="23"/>
          <w:szCs w:val="23"/>
          <w:lang w:eastAsia="ar-SA"/>
        </w:rPr>
        <w:t xml:space="preserve">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sz w:val="23"/>
          <w:szCs w:val="23"/>
          <w:lang w:eastAsia="ar-SA"/>
        </w:rPr>
        <w:t>a) SICAF;</w:t>
      </w:r>
    </w:p>
    <w:p>
      <w:pPr>
        <w:pStyle w:val="ListParagraph"/>
        <w:spacing w:lineRule="auto" w:line="240" w:before="57" w:after="57"/>
        <w:ind w:left="0"/>
        <w:jc w:val="both"/>
        <w:rPr/>
      </w:pPr>
      <w:r>
        <w:rPr>
          <w:rFonts w:cs="Verdana" w:ascii="Times New Roman" w:hAnsi="Times New Roman"/>
          <w:sz w:val="23"/>
          <w:szCs w:val="23"/>
          <w:lang w:eastAsia="ar-SA"/>
        </w:rPr>
        <w:t>b) Cadastro Nacional de Empresas Inidôneas e Suspensas – CEIS, mantido pela Controladoria-Geral da União (</w:t>
      </w:r>
      <w:hyperlink r:id="rId2">
        <w:r>
          <w:rPr>
            <w:rStyle w:val="Hyperlink"/>
            <w:rFonts w:cs="Verdana" w:ascii="Times New Roman" w:hAnsi="Times New Roman"/>
            <w:sz w:val="23"/>
            <w:szCs w:val="23"/>
            <w:lang w:eastAsia="ar-SA"/>
          </w:rPr>
          <w:t>www.portaldatransparencia.gov.br/ceis</w:t>
        </w:r>
      </w:hyperlink>
      <w:r>
        <w:rPr>
          <w:rFonts w:cs="Verdana" w:ascii="Times New Roman" w:hAnsi="Times New Roman"/>
          <w:sz w:val="23"/>
          <w:szCs w:val="23"/>
          <w:lang w:eastAsia="ar-SA"/>
        </w:rPr>
        <w:t>);</w:t>
      </w:r>
    </w:p>
    <w:p>
      <w:pPr>
        <w:pStyle w:val="ListParagraph"/>
        <w:spacing w:lineRule="auto" w:line="240" w:before="57" w:after="57"/>
        <w:ind w:left="0"/>
        <w:jc w:val="both"/>
        <w:rPr/>
      </w:pPr>
      <w:r>
        <w:rPr>
          <w:rFonts w:cs="Verdana" w:ascii="Times New Roman" w:hAnsi="Times New Roman"/>
          <w:sz w:val="23"/>
          <w:szCs w:val="23"/>
          <w:lang w:eastAsia="ar-SA"/>
        </w:rPr>
        <w:t>c) Cadastro Nacional de Condenações Cíveis por Atos de Improbidade Administrativa, mantido pelo Conselho Nacional de Justiça (</w:t>
      </w:r>
      <w:hyperlink r:id="rId3">
        <w:r>
          <w:rPr>
            <w:rStyle w:val="Hyperlink"/>
            <w:rFonts w:cs="Verdana" w:ascii="Times New Roman" w:hAnsi="Times New Roman"/>
            <w:sz w:val="23"/>
            <w:szCs w:val="23"/>
            <w:lang w:eastAsia="ar-SA"/>
          </w:rPr>
          <w:t>www.cnj.jus.br/improbidade_adm/consultar_requerido.php</w:t>
        </w:r>
      </w:hyperlink>
      <w:r>
        <w:rPr>
          <w:rFonts w:cs="Verdana" w:ascii="Times New Roman" w:hAnsi="Times New Roman"/>
          <w:sz w:val="23"/>
          <w:szCs w:val="23"/>
          <w:lang w:eastAsia="ar-SA"/>
        </w:rPr>
        <w:t>).</w:t>
      </w:r>
    </w:p>
    <w:p>
      <w:pPr>
        <w:pStyle w:val="ListParagraph"/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sz w:val="23"/>
          <w:szCs w:val="23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before="57" w:after="57"/>
        <w:jc w:val="both"/>
        <w:rPr/>
      </w:pPr>
      <w:r>
        <w:rPr>
          <w:rFonts w:cs="Verdana"/>
          <w:sz w:val="23"/>
          <w:szCs w:val="23"/>
          <w:lang w:eastAsia="ar-SA"/>
        </w:rPr>
        <w:t>e) Cadastro de empresas inid</w:t>
      </w:r>
      <w:r>
        <w:rPr>
          <w:rFonts w:cs="Verdana"/>
          <w:sz w:val="23"/>
          <w:szCs w:val="23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4">
        <w:r>
          <w:rPr>
            <w:rStyle w:val="Hyperlink"/>
            <w:rFonts w:cs="Verdana"/>
            <w:sz w:val="23"/>
            <w:szCs w:val="23"/>
          </w:rPr>
          <w:t>https://www.tcees.tc.br/portal-da-transparencia/consultas/lista-de</w:t>
        </w:r>
      </w:hyperlink>
      <w:r>
        <w:rPr>
          <w:rFonts w:cs="Verdana"/>
          <w:sz w:val="23"/>
          <w:szCs w:val="23"/>
        </w:rPr>
        <w:t xml:space="preserve"> responsáveis/proibidos-de-contratar/).</w:t>
      </w:r>
    </w:p>
    <w:p>
      <w:pPr>
        <w:pStyle w:val="Normal"/>
        <w:spacing w:before="57" w:after="57"/>
        <w:jc w:val="both"/>
        <w:rPr/>
      </w:pPr>
      <w:r>
        <w:rPr>
          <w:rFonts w:cs="Verdana"/>
          <w:sz w:val="23"/>
          <w:szCs w:val="23"/>
          <w:lang w:eastAsia="ar-SA"/>
        </w:rPr>
        <w:t>19.1.1. Para a consulta de licitantes pessoa jurídica poderá haver a substituição das consultas das alíneas “b”, “c” e “d” acima pela Consulta Consolidada de Pessoa Jurídica do TCU (</w:t>
      </w:r>
      <w:hyperlink r:id="rId5">
        <w:r>
          <w:rPr>
            <w:rStyle w:val="Hyperlink"/>
            <w:rFonts w:cs="Verdana"/>
            <w:sz w:val="23"/>
            <w:szCs w:val="23"/>
            <w:lang w:eastAsia="ar-SA"/>
          </w:rPr>
          <w:t>https://certidoesapf.apps.tcu.gov.br/</w:t>
        </w:r>
      </w:hyperlink>
      <w:r>
        <w:rPr>
          <w:rFonts w:cs="Verdana"/>
          <w:sz w:val="23"/>
          <w:szCs w:val="23"/>
          <w:lang w:eastAsia="ar-SA"/>
        </w:rPr>
        <w:t>);</w:t>
      </w:r>
    </w:p>
    <w:p>
      <w:pPr>
        <w:pStyle w:val="Normal"/>
        <w:spacing w:before="57" w:after="57"/>
        <w:jc w:val="both"/>
        <w:rPr>
          <w:rFonts w:ascii="Times New Roman" w:hAnsi="Times New Roman"/>
          <w:sz w:val="23"/>
          <w:szCs w:val="23"/>
        </w:rPr>
      </w:pPr>
      <w:r>
        <w:rPr>
          <w:rFonts w:cs="Verdana"/>
          <w:color w:val="000000"/>
          <w:sz w:val="23"/>
          <w:szCs w:val="23"/>
        </w:rPr>
        <w:t>19.1.2.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>19.1.2.1.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>19.1.2.2.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>19.1.2.3. O licitante será convocado para manifestação previamente à sua desclassificação.</w:t>
      </w:r>
    </w:p>
    <w:p>
      <w:pPr>
        <w:pStyle w:val="ListParagraph"/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>19.1.3. Constatada a existência de sanção, o Pregoeiro reputará o licitante inabilitado, por falta de condição de participação.</w:t>
      </w:r>
    </w:p>
    <w:p>
      <w:pPr>
        <w:pStyle w:val="ListParagraph"/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>19.1.4.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bCs/>
          <w:sz w:val="23"/>
          <w:szCs w:val="23"/>
          <w:lang w:eastAsia="ar-SA"/>
        </w:rPr>
        <w:t xml:space="preserve">19.2 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Caso atendidas as condições de participação, </w:t>
      </w:r>
      <w:r>
        <w:rPr>
          <w:rFonts w:cs="Verdana" w:ascii="Times New Roman" w:hAnsi="Times New Roman"/>
          <w:sz w:val="23"/>
          <w:szCs w:val="23"/>
        </w:rPr>
        <w:t>a habilitação dos licitantes será verificada por meio do SICAF, nos documentos por ele abrangidos</w:t>
      </w:r>
      <w:r>
        <w:rPr>
          <w:rFonts w:cs="Verdana" w:ascii="Times New Roman" w:hAnsi="Times New Roman"/>
          <w:sz w:val="23"/>
          <w:szCs w:val="23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sz w:val="23"/>
          <w:szCs w:val="23"/>
          <w:lang w:eastAsia="ar-SA"/>
        </w:rPr>
        <w:t>19.2.1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>19.2.2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>19.2.3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PADRO1"/>
        <w:keepNext w:val="false"/>
        <w:widowControl/>
        <w:tabs>
          <w:tab w:val="clear" w:pos="708"/>
          <w:tab w:val="left" w:pos="567" w:leader="none"/>
        </w:tabs>
        <w:spacing w:lineRule="auto" w:line="240" w:before="57" w:after="57"/>
        <w:ind w:hanging="0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bCs/>
          <w:color w:val="000000"/>
          <w:sz w:val="23"/>
          <w:szCs w:val="23"/>
        </w:rPr>
        <w:t xml:space="preserve">19.3. </w:t>
      </w:r>
      <w:r>
        <w:rPr>
          <w:rFonts w:cs="Verdana" w:ascii="Times New Roman" w:hAnsi="Times New Roman"/>
          <w:color w:val="000000"/>
          <w:sz w:val="23"/>
          <w:szCs w:val="23"/>
        </w:rPr>
        <w:t>Havendo a necessidade de envio de documentos de habilitação complementares, necessários à confirmação daqueles exigidos neste ETP, o licitante será convocado a encaminhá-los, em formato digital, via sistema, no prazo de 02 (duas) horas, sob pena de inabilitação.</w:t>
      </w:r>
    </w:p>
    <w:p>
      <w:pPr>
        <w:pStyle w:val="PADRO1"/>
        <w:keepNext w:val="false"/>
        <w:widowControl/>
        <w:tabs>
          <w:tab w:val="clear" w:pos="708"/>
          <w:tab w:val="left" w:pos="567" w:leader="none"/>
        </w:tabs>
        <w:spacing w:lineRule="auto" w:line="240" w:before="57" w:after="57"/>
        <w:ind w:hanging="0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bCs/>
          <w:sz w:val="23"/>
          <w:szCs w:val="23"/>
        </w:rPr>
        <w:t>19.4</w:t>
      </w:r>
      <w:r>
        <w:rPr>
          <w:rFonts w:cs="Verdana" w:ascii="Times New Roman" w:hAnsi="Times New Roman"/>
          <w:sz w:val="23"/>
          <w:szCs w:val="23"/>
        </w:rPr>
        <w:t xml:space="preserve">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PADRO1"/>
        <w:keepNext w:val="false"/>
        <w:widowControl/>
        <w:tabs>
          <w:tab w:val="clear" w:pos="708"/>
          <w:tab w:val="left" w:pos="567" w:leader="none"/>
        </w:tabs>
        <w:spacing w:lineRule="auto" w:line="240" w:before="57" w:after="57"/>
        <w:ind w:hanging="0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bCs/>
          <w:sz w:val="23"/>
          <w:szCs w:val="23"/>
        </w:rPr>
        <w:t xml:space="preserve">19.5 </w:t>
      </w:r>
      <w:r>
        <w:rPr>
          <w:rFonts w:cs="Verdana" w:ascii="Times New Roman" w:hAnsi="Times New Roman"/>
          <w:sz w:val="23"/>
          <w:szCs w:val="23"/>
        </w:rPr>
        <w:t>Não serão aceitos documentos de habilitação com indicação de CNPJ/CPF diferentes, salvo aqueles legalmente permitidos.</w:t>
      </w:r>
    </w:p>
    <w:p>
      <w:pPr>
        <w:pStyle w:val="PADRO1"/>
        <w:widowControl/>
        <w:tabs>
          <w:tab w:val="clear" w:pos="708"/>
          <w:tab w:val="left" w:pos="567" w:leader="none"/>
        </w:tabs>
        <w:spacing w:lineRule="auto" w:line="240" w:before="57" w:after="57"/>
        <w:ind w:hanging="0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bCs/>
          <w:sz w:val="23"/>
          <w:szCs w:val="23"/>
        </w:rPr>
        <w:t>19.6</w:t>
      </w:r>
      <w:r>
        <w:rPr>
          <w:rFonts w:cs="Verdana" w:ascii="Times New Roman" w:hAnsi="Times New Roman"/>
          <w:sz w:val="23"/>
          <w:szCs w:val="23"/>
        </w:rPr>
        <w:t xml:space="preserve">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1"/>
        <w:widowControl/>
        <w:tabs>
          <w:tab w:val="clear" w:pos="708"/>
          <w:tab w:val="left" w:pos="567" w:leader="none"/>
        </w:tabs>
        <w:spacing w:lineRule="auto" w:line="240" w:before="0" w:after="0"/>
        <w:ind w:hanging="0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bCs/>
          <w:color w:val="000000"/>
          <w:sz w:val="23"/>
          <w:szCs w:val="23"/>
        </w:rPr>
        <w:t>19.7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Ressalvado o disposto na lei, os licitantes deverão encaminhar, nos termos deste Edital, a documentação relacionada nos itens a seguir, para fins de habilitação:</w:t>
      </w:r>
    </w:p>
    <w:p>
      <w:pPr>
        <w:pStyle w:val="ListParagraph"/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bCs/>
          <w:color w:val="000000"/>
          <w:sz w:val="23"/>
          <w:szCs w:val="23"/>
        </w:rPr>
        <w:t>19.8 Habilitação jurídica:</w:t>
      </w:r>
    </w:p>
    <w:p>
      <w:pPr>
        <w:pStyle w:val="ListParagraph"/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>19.8.1 No caso de empresário individual: inscrição no Registro Público de Empresas Mercantis, a cargo da Junta Comercial da respectiva sede;</w:t>
      </w:r>
    </w:p>
    <w:p>
      <w:pPr>
        <w:pStyle w:val="ListParagraph"/>
        <w:spacing w:lineRule="auto" w:line="240" w:before="57" w:after="57"/>
        <w:ind w:left="0"/>
        <w:jc w:val="both"/>
        <w:rPr/>
      </w:pPr>
      <w:r>
        <w:rPr>
          <w:rFonts w:cs="Verdana" w:ascii="Times New Roman" w:hAnsi="Times New Roman"/>
          <w:color w:val="000000"/>
          <w:sz w:val="23"/>
          <w:szCs w:val="23"/>
        </w:rPr>
        <w:t xml:space="preserve">19.8.2 Em se tratando de microempreendedor individual – MEI: Certificado da Condição de Microempreendedor Individual – CCMEI, cuja aceitação ficará condicionada à verificação da autenticidade no sítio </w:t>
      </w:r>
      <w:hyperlink r:id="rId6">
        <w:r>
          <w:rPr>
            <w:rStyle w:val="Hyperlink"/>
            <w:rFonts w:cs="Verdana" w:ascii="Times New Roman" w:hAnsi="Times New Roman"/>
            <w:color w:val="000000"/>
            <w:sz w:val="23"/>
            <w:szCs w:val="23"/>
          </w:rPr>
          <w:t>www.portaldoempreendedor.gov.br</w:t>
        </w:r>
      </w:hyperlink>
      <w:r>
        <w:rPr>
          <w:rFonts w:cs="Verdana" w:ascii="Times New Roman" w:hAnsi="Times New Roman"/>
          <w:color w:val="000000"/>
          <w:sz w:val="23"/>
          <w:szCs w:val="23"/>
        </w:rPr>
        <w:t>;</w:t>
      </w:r>
    </w:p>
    <w:p>
      <w:pPr>
        <w:pStyle w:val="ListParagraph"/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>19.8.3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>19.8.4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>19.8.5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>19.8.6</w:t>
      </w:r>
      <w:r>
        <w:rPr>
          <w:rFonts w:cs="Verdana" w:ascii="Times New Roman" w:hAnsi="Times New Roman"/>
          <w:b/>
          <w:bCs/>
          <w:color w:val="000000"/>
          <w:sz w:val="23"/>
          <w:szCs w:val="23"/>
        </w:rPr>
        <w:t xml:space="preserve"> </w:t>
      </w:r>
      <w:r>
        <w:rPr>
          <w:rFonts w:cs="Verdana" w:ascii="Times New Roman" w:hAnsi="Times New Roman"/>
          <w:bCs/>
          <w:color w:val="000000"/>
          <w:sz w:val="23"/>
          <w:szCs w:val="23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lineRule="auto" w:line="240" w:before="57" w:after="57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>19.8.7 No caso de empresa ou sociedade estrangeira em funcionamento no País: decreto de autorização;</w:t>
      </w:r>
    </w:p>
    <w:p>
      <w:pPr>
        <w:pStyle w:val="ListParagraph"/>
        <w:spacing w:lineRule="auto" w:line="240" w:before="0" w:after="0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>19.8.8 Os documentos acima deverão estar acompanhados de todas as alterações ou da c</w:t>
      </w:r>
      <w:r>
        <w:rPr>
          <w:rFonts w:cs="Verdana" w:ascii="Times New Roman" w:hAnsi="Times New Roman"/>
          <w:bCs/>
          <w:color w:val="000000"/>
          <w:sz w:val="23"/>
          <w:szCs w:val="23"/>
        </w:rPr>
        <w:t>onsolidação respectiva;</w:t>
      </w:r>
    </w:p>
    <w:p>
      <w:pPr>
        <w:pStyle w:val="ListParagraph"/>
        <w:spacing w:lineRule="auto" w:line="240" w:before="0" w:after="0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bCs/>
          <w:color w:val="000000"/>
          <w:sz w:val="23"/>
          <w:szCs w:val="23"/>
        </w:rPr>
        <w:t xml:space="preserve">19.9. Regularidade fiscal </w:t>
      </w:r>
      <w:r>
        <w:rPr>
          <w:rFonts w:cs="Verdana" w:ascii="Times New Roman" w:hAnsi="Times New Roman"/>
          <w:b/>
          <w:bCs/>
          <w:sz w:val="23"/>
          <w:szCs w:val="23"/>
        </w:rPr>
        <w:t>e trabalhista</w:t>
      </w:r>
      <w:r>
        <w:rPr>
          <w:rFonts w:cs="Verdana" w:ascii="Times New Roman" w:hAnsi="Times New Roman"/>
          <w:b/>
          <w:bCs/>
          <w:color w:val="0000FF"/>
          <w:sz w:val="23"/>
          <w:szCs w:val="23"/>
        </w:rPr>
        <w:t>:</w:t>
      </w:r>
    </w:p>
    <w:p>
      <w:pPr>
        <w:pStyle w:val="Normal"/>
        <w:snapToGrid w:val="false"/>
        <w:spacing w:before="57" w:after="57"/>
        <w:jc w:val="both"/>
        <w:rPr>
          <w:rFonts w:ascii="Times New Roman" w:hAnsi="Times New Roman"/>
          <w:sz w:val="23"/>
          <w:szCs w:val="23"/>
        </w:rPr>
      </w:pPr>
      <w:r>
        <w:rPr>
          <w:rFonts w:cs="Verdana"/>
          <w:sz w:val="23"/>
          <w:szCs w:val="23"/>
          <w:lang w:eastAsia="en-US"/>
        </w:rPr>
        <w:t>19.9.1 Prova de inscrição no Cadastro Nacional de Pessoas Jurídicas ou no Cadastro de Pessoas Físicas, conforme o caso;</w:t>
      </w:r>
    </w:p>
    <w:p>
      <w:pPr>
        <w:pStyle w:val="Normal"/>
        <w:snapToGrid w:val="false"/>
        <w:spacing w:before="57" w:after="57"/>
        <w:jc w:val="both"/>
        <w:rPr>
          <w:rFonts w:ascii="Times New Roman" w:hAnsi="Times New Roman"/>
          <w:sz w:val="23"/>
          <w:szCs w:val="23"/>
        </w:rPr>
      </w:pPr>
      <w:r>
        <w:rPr>
          <w:rFonts w:cs="Verdana"/>
          <w:sz w:val="23"/>
          <w:szCs w:val="23"/>
          <w:lang w:eastAsia="en-US"/>
        </w:rPr>
        <w:t>19.9.2 Certidão de regularidade junto à fazenda pública Municipal, do domicílio do Licitante;</w:t>
      </w:r>
    </w:p>
    <w:p>
      <w:pPr>
        <w:pStyle w:val="Normal"/>
        <w:snapToGrid w:val="false"/>
        <w:spacing w:before="57" w:after="57"/>
        <w:jc w:val="both"/>
        <w:rPr>
          <w:rFonts w:ascii="Times New Roman" w:hAnsi="Times New Roman"/>
          <w:sz w:val="23"/>
          <w:szCs w:val="23"/>
        </w:rPr>
      </w:pPr>
      <w:r>
        <w:rPr>
          <w:rFonts w:cs="Verdana"/>
          <w:sz w:val="23"/>
          <w:szCs w:val="23"/>
        </w:rPr>
        <w:t>19.9.3 Certidão de regularidade junto à fazenda pública Estadual, do domicílio do Licitante;</w:t>
      </w:r>
    </w:p>
    <w:p>
      <w:pPr>
        <w:pStyle w:val="Normal"/>
        <w:snapToGrid w:val="false"/>
        <w:spacing w:before="57" w:after="57"/>
        <w:jc w:val="both"/>
        <w:rPr>
          <w:rFonts w:ascii="Times New Roman" w:hAnsi="Times New Roman"/>
          <w:sz w:val="23"/>
          <w:szCs w:val="23"/>
        </w:rPr>
      </w:pPr>
      <w:r>
        <w:rPr>
          <w:rFonts w:cs="Verdana"/>
          <w:sz w:val="23"/>
          <w:szCs w:val="23"/>
        </w:rPr>
        <w:t>19.9.4 Certidão conjunta de regularidade junto à fazenda pública Federal, (Quitação de tributos e contribuições Federais e Quanto à dívida ativa da União) e junto ao INSS, conforme Portaria MF nº 358 de 05/09/2014;</w:t>
      </w:r>
    </w:p>
    <w:p>
      <w:pPr>
        <w:pStyle w:val="Normal"/>
        <w:snapToGrid w:val="false"/>
        <w:spacing w:before="57" w:after="57"/>
        <w:jc w:val="both"/>
        <w:rPr>
          <w:rFonts w:ascii="Times New Roman" w:hAnsi="Times New Roman"/>
          <w:sz w:val="23"/>
          <w:szCs w:val="23"/>
        </w:rPr>
      </w:pPr>
      <w:r>
        <w:rPr>
          <w:rFonts w:cs="Verdana"/>
          <w:sz w:val="23"/>
          <w:szCs w:val="23"/>
        </w:rPr>
        <w:t>19.9.5 Certidão de regularidade junto ao FGTS;</w:t>
      </w:r>
    </w:p>
    <w:p>
      <w:pPr>
        <w:pStyle w:val="Normal"/>
        <w:snapToGrid w:val="false"/>
        <w:spacing w:before="57" w:after="57"/>
        <w:jc w:val="both"/>
        <w:rPr>
          <w:rFonts w:ascii="Times New Roman" w:hAnsi="Times New Roman"/>
          <w:sz w:val="23"/>
          <w:szCs w:val="23"/>
        </w:rPr>
      </w:pPr>
      <w:r>
        <w:rPr>
          <w:rFonts w:cs="Verdana"/>
          <w:sz w:val="23"/>
          <w:szCs w:val="23"/>
          <w:lang w:eastAsia="en-US"/>
        </w:rPr>
        <w:t>19.9.6 Certidão Negativa De Débitos Trabalhistas (CNDT) de acordo com a Lei 12440 de 7 de julho de 2011.</w:t>
      </w:r>
    </w:p>
    <w:p>
      <w:pPr>
        <w:pStyle w:val="Normal"/>
        <w:snapToGrid w:val="false"/>
        <w:jc w:val="both"/>
        <w:rPr>
          <w:rFonts w:ascii="Times New Roman" w:hAnsi="Times New Roman"/>
          <w:sz w:val="23"/>
          <w:szCs w:val="23"/>
        </w:rPr>
      </w:pPr>
      <w:r>
        <w:rPr>
          <w:rFonts w:cs="Verdana"/>
          <w:color w:val="000000"/>
          <w:sz w:val="23"/>
          <w:szCs w:val="23"/>
          <w:lang w:eastAsia="en-US" w:bidi="pt-BR"/>
        </w:rPr>
        <w:t xml:space="preserve">19.9.7 Caso o vencedor do menor preço seja qualificado como microempresa ou empresa de pequeno porte </w:t>
      </w:r>
      <w:r>
        <w:rPr>
          <w:rFonts w:cs="Verdana"/>
          <w:color w:val="000000"/>
          <w:sz w:val="23"/>
          <w:szCs w:val="23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>
      <w:pPr>
        <w:pStyle w:val="ListParagraph"/>
        <w:spacing w:lineRule="auto" w:line="240" w:before="0" w:after="0"/>
        <w:ind w:left="0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19.10 Qualificação Econômico-Financeira</w:t>
      </w:r>
      <w:r>
        <w:rPr>
          <w:rFonts w:cs="Verdana" w:ascii="Times New Roman" w:hAnsi="Times New Roman"/>
          <w:color w:val="000000"/>
          <w:sz w:val="23"/>
          <w:szCs w:val="23"/>
        </w:rPr>
        <w:t>.</w:t>
      </w:r>
    </w:p>
    <w:p>
      <w:pPr>
        <w:pStyle w:val="Normal"/>
        <w:tabs>
          <w:tab w:val="clear" w:pos="708"/>
          <w:tab w:val="left" w:pos="850" w:leader="none"/>
        </w:tabs>
        <w:snapToGrid w:val="false"/>
        <w:jc w:val="both"/>
        <w:rPr>
          <w:rFonts w:ascii="Times New Roman" w:hAnsi="Times New Roman"/>
          <w:sz w:val="23"/>
          <w:szCs w:val="23"/>
        </w:rPr>
      </w:pPr>
      <w:r>
        <w:rPr>
          <w:rFonts w:cs="Verdana"/>
          <w:color w:val="000000"/>
          <w:sz w:val="23"/>
          <w:szCs w:val="23"/>
        </w:rPr>
        <w:t>19.10.1 Certidão negativa de falência, recuperação judicial e extrajudicial, expedida pelo cartório distribuidor da sede da Licitante ou por meio digital, emitida em até 30 (trinta) dias anteriores à data de abertura da Licitação;</w:t>
      </w:r>
    </w:p>
    <w:p>
      <w:pPr>
        <w:pStyle w:val="Normal"/>
        <w:tabs>
          <w:tab w:val="clear" w:pos="708"/>
          <w:tab w:val="left" w:pos="850" w:leader="none"/>
        </w:tabs>
        <w:snapToGrid w:val="false"/>
        <w:spacing w:before="57" w:after="57"/>
        <w:jc w:val="both"/>
        <w:rPr>
          <w:rFonts w:ascii="Times New Roman" w:hAnsi="Times New Roman"/>
          <w:sz w:val="23"/>
          <w:szCs w:val="23"/>
        </w:rPr>
      </w:pPr>
      <w:r>
        <w:rPr>
          <w:rFonts w:cs="Verdana"/>
          <w:color w:val="000000"/>
          <w:sz w:val="23"/>
          <w:szCs w:val="23"/>
        </w:rPr>
        <w:t>19.10.2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napToGrid w:val="false"/>
        <w:spacing w:before="57" w:after="57"/>
        <w:jc w:val="both"/>
        <w:rPr>
          <w:rFonts w:ascii="Times New Roman" w:hAnsi="Times New Roman"/>
          <w:sz w:val="23"/>
          <w:szCs w:val="23"/>
        </w:rPr>
      </w:pPr>
      <w:r>
        <w:rPr>
          <w:rFonts w:cs="Verdana"/>
          <w:sz w:val="23"/>
          <w:szCs w:val="23"/>
        </w:rPr>
        <w:t>19.10.3 Para a contagem do prazo estabelecido na letra “a” deste capítulo, será contado a partir do primeiro dia que antecede a data da realização desta licitação.</w:t>
      </w:r>
    </w:p>
    <w:p>
      <w:pPr>
        <w:pStyle w:val="Normal"/>
        <w:tabs>
          <w:tab w:val="clear" w:pos="708"/>
          <w:tab w:val="left" w:pos="850" w:leader="none"/>
        </w:tabs>
        <w:snapToGrid w:val="false"/>
        <w:spacing w:before="57" w:after="57"/>
        <w:jc w:val="both"/>
        <w:rPr>
          <w:rFonts w:ascii="Times New Roman" w:hAnsi="Times New Roman"/>
          <w:sz w:val="23"/>
          <w:szCs w:val="23"/>
        </w:rPr>
      </w:pPr>
      <w:r>
        <w:rPr>
          <w:rFonts w:cs="Verdana"/>
          <w:iCs/>
          <w:color w:val="000000"/>
          <w:sz w:val="23"/>
          <w:szCs w:val="23"/>
          <w:lang w:eastAsia="en-US"/>
        </w:rPr>
        <w:t>19.10.4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spacing w:lineRule="auto" w:line="240"/>
        <w:jc w:val="both"/>
        <w:rPr>
          <w:rFonts w:ascii="Times New Roman" w:hAnsi="Times New Roman"/>
          <w:b/>
          <w:bCs/>
          <w:sz w:val="23"/>
          <w:szCs w:val="23"/>
        </w:rPr>
      </w:pPr>
      <w:r>
        <w:rPr>
          <w:b/>
          <w:bCs/>
          <w:sz w:val="23"/>
          <w:szCs w:val="23"/>
        </w:rPr>
      </w:r>
    </w:p>
    <w:p>
      <w:pPr>
        <w:pStyle w:val="Normal"/>
        <w:jc w:val="both"/>
        <w:rPr>
          <w:rFonts w:ascii="Times New Roman" w:hAnsi="Times New Roman"/>
          <w:sz w:val="23"/>
          <w:szCs w:val="23"/>
        </w:rPr>
      </w:pPr>
      <w:r>
        <w:rPr>
          <w:b/>
          <w:bCs/>
          <w:iCs/>
          <w:color w:val="000000"/>
          <w:sz w:val="23"/>
          <w:szCs w:val="23"/>
        </w:rPr>
        <w:t>19.11 QUALIFICAÇÃO TÉCNICA</w:t>
      </w:r>
    </w:p>
    <w:p>
      <w:pPr>
        <w:pStyle w:val="ListParagraph"/>
        <w:tabs>
          <w:tab w:val="clear" w:pos="708"/>
          <w:tab w:val="left" w:pos="1052" w:leader="none"/>
        </w:tabs>
        <w:spacing w:before="0" w:after="0"/>
        <w:ind w:left="0" w:right="-1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iCs/>
          <w:color w:val="000000"/>
          <w:sz w:val="23"/>
          <w:szCs w:val="23"/>
        </w:rPr>
        <w:t xml:space="preserve">a) </w:t>
      </w:r>
      <w:r>
        <w:rPr>
          <w:rFonts w:ascii="Times New Roman" w:hAnsi="Times New Roman"/>
          <w:color w:val="000000"/>
          <w:sz w:val="23"/>
          <w:szCs w:val="23"/>
        </w:rPr>
        <w:t>Comprovante/declaração</w:t>
      </w:r>
      <w:r>
        <w:rPr>
          <w:rFonts w:ascii="Times New Roman" w:hAnsi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de registro no Conselho Regional de Engenharia</w:t>
      </w:r>
      <w:r>
        <w:rPr>
          <w:rFonts w:ascii="Times New Roman" w:hAnsi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e Agronomia  —</w:t>
      </w:r>
      <w:r>
        <w:rPr>
          <w:rFonts w:ascii="Times New Roman" w:hAnsi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CREA</w:t>
      </w:r>
      <w:r>
        <w:rPr>
          <w:rFonts w:ascii="Times New Roman" w:hAnsi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ou</w:t>
      </w:r>
      <w:r>
        <w:rPr>
          <w:rFonts w:ascii="Times New Roman" w:hAnsi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Conselho</w:t>
      </w:r>
      <w:r>
        <w:rPr>
          <w:rFonts w:ascii="Times New Roman" w:hAnsi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de</w:t>
      </w:r>
      <w:r>
        <w:rPr>
          <w:rFonts w:ascii="Times New Roman" w:hAnsi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Arquitetura</w:t>
      </w:r>
      <w:r>
        <w:rPr>
          <w:rFonts w:ascii="Times New Roman" w:hAnsi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e</w:t>
      </w:r>
      <w:r>
        <w:rPr>
          <w:rFonts w:ascii="Times New Roman" w:hAnsi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 xml:space="preserve">Urbanismo </w:t>
      </w:r>
      <w:r>
        <w:rPr>
          <w:rFonts w:ascii="Times New Roman" w:hAnsi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—</w:t>
      </w:r>
      <w:r>
        <w:rPr>
          <w:rFonts w:ascii="Times New Roman" w:hAnsi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CAU,</w:t>
      </w:r>
      <w:r>
        <w:rPr>
          <w:rFonts w:ascii="Times New Roman" w:hAnsi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da</w:t>
      </w:r>
      <w:r>
        <w:rPr>
          <w:rFonts w:ascii="Times New Roman" w:hAnsi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 xml:space="preserve">licitante e  de </w:t>
      </w:r>
      <w:r>
        <w:rPr>
          <w:rFonts w:ascii="Times New Roman" w:hAnsi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seus</w:t>
      </w:r>
      <w:r>
        <w:rPr>
          <w:rFonts w:ascii="Times New Roman" w:hAnsi="Times New Roman"/>
          <w:color w:val="000000"/>
          <w:spacing w:val="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responsáveis</w:t>
      </w:r>
      <w:r>
        <w:rPr>
          <w:rFonts w:ascii="Times New Roman" w:hAnsi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técnicos</w:t>
      </w:r>
      <w:r>
        <w:rPr>
          <w:rFonts w:ascii="Times New Roman" w:hAnsi="Times New Roman"/>
          <w:color w:val="000000"/>
          <w:spacing w:val="13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—</w:t>
      </w:r>
      <w:r>
        <w:rPr>
          <w:rFonts w:ascii="Times New Roman" w:hAnsi="Times New Roman"/>
          <w:color w:val="000000"/>
          <w:spacing w:val="3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Engenheiro</w:t>
      </w:r>
      <w:r>
        <w:rPr>
          <w:rFonts w:ascii="Times New Roman" w:hAnsi="Times New Roman"/>
          <w:color w:val="000000"/>
          <w:spacing w:val="20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Civil</w:t>
      </w:r>
      <w:r>
        <w:rPr>
          <w:rFonts w:ascii="Times New Roman" w:hAnsi="Times New Roman"/>
          <w:color w:val="000000"/>
          <w:spacing w:val="6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ou</w:t>
      </w:r>
      <w:r>
        <w:rPr>
          <w:rFonts w:ascii="Times New Roman" w:hAnsi="Times New Roman"/>
          <w:color w:val="000000"/>
          <w:spacing w:val="-1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Arquiteto e Urbanista.</w:t>
      </w:r>
    </w:p>
    <w:p>
      <w:pPr>
        <w:pStyle w:val="Normal"/>
        <w:jc w:val="both"/>
        <w:rPr>
          <w:rFonts w:ascii="Times New Roman" w:hAnsi="Times New Roman"/>
          <w:sz w:val="23"/>
          <w:szCs w:val="23"/>
        </w:rPr>
      </w:pPr>
      <w:r>
        <w:rPr>
          <w:sz w:val="23"/>
          <w:szCs w:val="23"/>
        </w:rPr>
        <w:t>b) A empresa licitante deverá apresentar para fins de comprovação de vínculo empregatício Declaração de Indicação dos Profissionais: ENGENHEIRO ou ARQUITETO URBANISTA com vínculo que atuará como responsável Técnico para o acompanhamento dos serviços objeto desta licitação.</w:t>
      </w:r>
    </w:p>
    <w:p>
      <w:pPr>
        <w:pStyle w:val="Normal"/>
        <w:jc w:val="both"/>
        <w:rPr>
          <w:rFonts w:ascii="Times New Roman" w:hAnsi="Times New Roman"/>
          <w:sz w:val="23"/>
          <w:szCs w:val="23"/>
        </w:rPr>
      </w:pPr>
      <w:r>
        <w:rPr>
          <w:sz w:val="23"/>
          <w:szCs w:val="23"/>
        </w:rPr>
        <w:t>c) Declaração de aceitação dos profissionais: ENGENHEIRO ou ARQUITETO URBANISTA com vínculo que atuará como responsável Técnico para o acompanhamento dos serviços objeto desta licitação.</w:t>
      </w:r>
    </w:p>
    <w:p>
      <w:pPr>
        <w:pStyle w:val="Normal"/>
        <w:jc w:val="both"/>
        <w:rPr>
          <w:rFonts w:ascii="Times New Roman" w:hAnsi="Times New Roman"/>
          <w:sz w:val="23"/>
          <w:szCs w:val="23"/>
        </w:rPr>
      </w:pPr>
      <w:r>
        <w:rPr>
          <w:sz w:val="23"/>
          <w:szCs w:val="23"/>
        </w:rPr>
        <w:t>d) Atestados de desempenho anterior, emitido por pessoas jurídicas de direito público ou privado, devidamente registrado no CREA/CAU, acompanhado das respectivas Certidões de Acervo Técnico (CAT), visando certificar a capacidade técnica do profissional da empresa proponente, emitido por pessoa jurídica de direito público ou privado, comprovando ter prestado serviços iguais ou semelhantes ao objeto deste Estudo Técnico Preliminar.</w:t>
      </w:r>
    </w:p>
    <w:p>
      <w:pPr>
        <w:pStyle w:val="Normal"/>
        <w:rPr>
          <w:rFonts w:ascii="Times New Roman" w:hAnsi="Times New Roman"/>
          <w:b/>
          <w:bCs/>
          <w:sz w:val="23"/>
          <w:szCs w:val="23"/>
        </w:rPr>
      </w:pPr>
      <w:r>
        <w:rPr>
          <w:b/>
          <w:bCs/>
          <w:sz w:val="23"/>
          <w:szCs w:val="23"/>
        </w:rPr>
      </w:r>
    </w:p>
    <w:p>
      <w:pPr>
        <w:pStyle w:val="Standard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bCs/>
          <w:color w:val="000000"/>
          <w:sz w:val="23"/>
          <w:szCs w:val="23"/>
          <w:u w:val="single"/>
        </w:rPr>
        <w:t>19.12. VISITA TÉCNICA</w:t>
      </w:r>
    </w:p>
    <w:p>
      <w:pPr>
        <w:pStyle w:val="Standard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bCs/>
          <w:color w:val="000000"/>
          <w:sz w:val="23"/>
          <w:szCs w:val="23"/>
        </w:rPr>
        <w:t xml:space="preserve">a) </w:t>
      </w:r>
      <w:r>
        <w:rPr>
          <w:rFonts w:ascii="Times New Roman" w:hAnsi="Times New Roman"/>
          <w:color w:val="000000"/>
          <w:sz w:val="23"/>
          <w:szCs w:val="23"/>
        </w:rPr>
        <w:t>Considerando</w:t>
      </w:r>
      <w:r>
        <w:rPr>
          <w:rFonts w:ascii="Times New Roman" w:hAnsi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que</w:t>
      </w:r>
      <w:r>
        <w:rPr>
          <w:rFonts w:ascii="Times New Roman" w:hAnsi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na</w:t>
      </w:r>
      <w:r>
        <w:rPr>
          <w:rFonts w:ascii="Times New Roman" w:hAnsi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presente</w:t>
      </w:r>
      <w:r>
        <w:rPr>
          <w:rFonts w:ascii="Times New Roman" w:hAnsi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contratação</w:t>
      </w:r>
      <w:r>
        <w:rPr>
          <w:rFonts w:ascii="Times New Roman" w:hAnsi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a</w:t>
      </w:r>
      <w:r>
        <w:rPr>
          <w:rFonts w:ascii="Times New Roman" w:hAnsi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avaliação</w:t>
      </w:r>
      <w:r>
        <w:rPr>
          <w:rFonts w:ascii="Times New Roman" w:hAnsi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prévia</w:t>
      </w:r>
      <w:r>
        <w:rPr>
          <w:rFonts w:ascii="Times New Roman" w:hAnsi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do</w:t>
      </w:r>
      <w:r>
        <w:rPr>
          <w:rFonts w:ascii="Times New Roman" w:hAnsi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local</w:t>
      </w:r>
      <w:r>
        <w:rPr>
          <w:rFonts w:ascii="Times New Roman" w:hAnsi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de</w:t>
      </w:r>
      <w:r>
        <w:rPr>
          <w:rFonts w:ascii="Times New Roman" w:hAnsi="Times New Roman"/>
          <w:color w:val="000000"/>
          <w:spacing w:val="-4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execução</w:t>
      </w:r>
      <w:r>
        <w:rPr>
          <w:rFonts w:ascii="Times New Roman" w:hAnsi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é imprescindível</w:t>
      </w:r>
      <w:r>
        <w:rPr>
          <w:rFonts w:ascii="Times New Roman" w:hAnsi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para</w:t>
      </w:r>
      <w:r>
        <w:rPr>
          <w:rFonts w:ascii="Times New Roman" w:hAnsi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o</w:t>
      </w:r>
      <w:r>
        <w:rPr>
          <w:rFonts w:ascii="Times New Roman" w:hAnsi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conhecimento</w:t>
      </w:r>
      <w:r>
        <w:rPr>
          <w:rFonts w:ascii="Times New Roman" w:hAnsi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pleno</w:t>
      </w:r>
      <w:r>
        <w:rPr>
          <w:rFonts w:ascii="Times New Roman" w:hAnsi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das</w:t>
      </w:r>
      <w:r>
        <w:rPr>
          <w:rFonts w:ascii="Times New Roman" w:hAnsi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condições</w:t>
      </w:r>
      <w:r>
        <w:rPr>
          <w:rFonts w:ascii="Times New Roman" w:hAnsi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e</w:t>
      </w:r>
      <w:r>
        <w:rPr>
          <w:rFonts w:ascii="Times New Roman" w:hAnsi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peculiaridades</w:t>
      </w:r>
      <w:r>
        <w:rPr>
          <w:rFonts w:ascii="Times New Roman" w:hAnsi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do objeto</w:t>
      </w:r>
      <w:r>
        <w:rPr>
          <w:rFonts w:ascii="Times New Roman" w:hAnsi="Times New Roman"/>
          <w:color w:val="000000"/>
          <w:spacing w:val="-1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a</w:t>
      </w:r>
      <w:r>
        <w:rPr>
          <w:rFonts w:ascii="Times New Roman" w:hAnsi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ser</w:t>
      </w:r>
      <w:r>
        <w:rPr>
          <w:rFonts w:ascii="Times New Roman" w:hAnsi="Times New Roman"/>
          <w:color w:val="000000"/>
          <w:spacing w:val="-2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contratado, o licitante deve atestar, sob pena de inabilitação, que conhece o local e as condições de realização do serviço, assegurado a ele o direito de realização de vistoria prévia.</w:t>
      </w:r>
    </w:p>
    <w:p>
      <w:pPr>
        <w:pStyle w:val="ListParagraph"/>
        <w:tabs>
          <w:tab w:val="clear" w:pos="708"/>
          <w:tab w:val="left" w:pos="473" w:leader="none"/>
        </w:tabs>
        <w:spacing w:before="0" w:after="0"/>
        <w:ind w:left="0" w:right="192"/>
        <w:jc w:val="both"/>
        <w:rPr/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>b)</w:t>
      </w:r>
      <w:r>
        <w:rPr>
          <w:rFonts w:ascii="Times New Roman" w:hAnsi="Times New Roman"/>
          <w:color w:val="000000"/>
          <w:sz w:val="23"/>
          <w:szCs w:val="23"/>
        </w:rPr>
        <w:t xml:space="preserve"> O</w:t>
      </w:r>
      <w:r>
        <w:rPr>
          <w:rFonts w:ascii="Times New Roman" w:hAnsi="Times New Roman"/>
          <w:color w:val="000000"/>
          <w:spacing w:val="-15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licitante</w:t>
      </w:r>
      <w:r>
        <w:rPr>
          <w:rFonts w:ascii="Times New Roman" w:hAnsi="Times New Roman"/>
          <w:color w:val="000000"/>
          <w:spacing w:val="-15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que</w:t>
      </w:r>
      <w:r>
        <w:rPr>
          <w:rFonts w:ascii="Times New Roman" w:hAnsi="Times New Roman"/>
          <w:color w:val="000000"/>
          <w:spacing w:val="-15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optar</w:t>
      </w:r>
      <w:r>
        <w:rPr>
          <w:rFonts w:ascii="Times New Roman" w:hAnsi="Times New Roman"/>
          <w:color w:val="000000"/>
          <w:spacing w:val="-15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por</w:t>
      </w:r>
      <w:r>
        <w:rPr>
          <w:rFonts w:ascii="Times New Roman" w:hAnsi="Times New Roman"/>
          <w:color w:val="000000"/>
          <w:spacing w:val="-15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realizar</w:t>
      </w:r>
      <w:r>
        <w:rPr>
          <w:rFonts w:ascii="Times New Roman" w:hAnsi="Times New Roman"/>
          <w:color w:val="000000"/>
          <w:spacing w:val="-15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vistoria</w:t>
      </w:r>
      <w:r>
        <w:rPr>
          <w:rFonts w:ascii="Times New Roman" w:hAnsi="Times New Roman"/>
          <w:color w:val="000000"/>
          <w:spacing w:val="-15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prévia</w:t>
      </w:r>
      <w:r>
        <w:rPr>
          <w:rFonts w:ascii="Times New Roman" w:hAnsi="Times New Roman"/>
          <w:color w:val="000000"/>
          <w:spacing w:val="-15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terá</w:t>
      </w:r>
      <w:r>
        <w:rPr>
          <w:rFonts w:ascii="Times New Roman" w:hAnsi="Times New Roman"/>
          <w:color w:val="000000"/>
          <w:spacing w:val="-15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disponibilizado</w:t>
      </w:r>
      <w:r>
        <w:rPr>
          <w:rFonts w:ascii="Times New Roman" w:hAnsi="Times New Roman"/>
          <w:color w:val="000000"/>
          <w:spacing w:val="-15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pela</w:t>
      </w:r>
      <w:r>
        <w:rPr>
          <w:rFonts w:ascii="Times New Roman" w:hAnsi="Times New Roman"/>
          <w:color w:val="000000"/>
          <w:spacing w:val="-15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Administração data</w:t>
      </w:r>
      <w:r>
        <w:rPr>
          <w:rFonts w:ascii="Times New Roman" w:hAnsi="Times New Roman"/>
          <w:color w:val="000000"/>
          <w:spacing w:val="-9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e</w:t>
      </w:r>
      <w:r>
        <w:rPr>
          <w:rFonts w:ascii="Times New Roman" w:hAnsi="Times New Roman"/>
          <w:color w:val="000000"/>
          <w:spacing w:val="-9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horários exclusivos,</w:t>
      </w:r>
      <w:r>
        <w:rPr>
          <w:rFonts w:ascii="Times New Roman" w:hAnsi="Times New Roman"/>
          <w:color w:val="000000"/>
          <w:spacing w:val="-8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a</w:t>
      </w:r>
      <w:r>
        <w:rPr>
          <w:rFonts w:ascii="Times New Roman" w:hAnsi="Times New Roman"/>
          <w:color w:val="000000"/>
          <w:spacing w:val="-9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ser</w:t>
      </w:r>
      <w:r>
        <w:rPr>
          <w:rFonts w:ascii="Times New Roman" w:hAnsi="Times New Roman"/>
          <w:color w:val="000000"/>
          <w:spacing w:val="-9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agendado</w:t>
      </w:r>
      <w:r>
        <w:rPr>
          <w:rFonts w:ascii="Times New Roman" w:hAnsi="Times New Roman"/>
          <w:color w:val="000000"/>
          <w:spacing w:val="-7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até</w:t>
      </w:r>
      <w:r>
        <w:rPr>
          <w:rFonts w:ascii="Times New Roman" w:hAnsi="Times New Roman"/>
          <w:color w:val="000000"/>
          <w:spacing w:val="-9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o</w:t>
      </w:r>
      <w:r>
        <w:rPr>
          <w:rFonts w:ascii="Times New Roman" w:hAnsi="Times New Roman"/>
          <w:color w:val="000000"/>
          <w:spacing w:val="-8"/>
          <w:sz w:val="23"/>
          <w:szCs w:val="23"/>
        </w:rPr>
        <w:t xml:space="preserve"> </w:t>
      </w:r>
      <w:r>
        <w:rPr>
          <w:rFonts w:ascii="Times New Roman" w:hAnsi="Times New Roman"/>
          <w:b/>
          <w:color w:val="000000"/>
          <w:sz w:val="23"/>
          <w:szCs w:val="23"/>
        </w:rPr>
        <w:t>terceiro</w:t>
      </w:r>
      <w:r>
        <w:rPr>
          <w:rFonts w:ascii="Times New Roman" w:hAnsi="Times New Roman"/>
          <w:b/>
          <w:color w:val="000000"/>
          <w:spacing w:val="-9"/>
          <w:sz w:val="23"/>
          <w:szCs w:val="23"/>
        </w:rPr>
        <w:t xml:space="preserve"> </w:t>
      </w:r>
      <w:r>
        <w:rPr>
          <w:rFonts w:ascii="Times New Roman" w:hAnsi="Times New Roman"/>
          <w:b/>
          <w:color w:val="000000"/>
          <w:sz w:val="23"/>
          <w:szCs w:val="23"/>
        </w:rPr>
        <w:t>dia</w:t>
      </w:r>
      <w:r>
        <w:rPr>
          <w:rFonts w:ascii="Times New Roman" w:hAnsi="Times New Roman"/>
          <w:b/>
          <w:color w:val="000000"/>
          <w:spacing w:val="-8"/>
          <w:sz w:val="23"/>
          <w:szCs w:val="23"/>
        </w:rPr>
        <w:t xml:space="preserve"> </w:t>
      </w:r>
      <w:r>
        <w:rPr>
          <w:rFonts w:ascii="Times New Roman" w:hAnsi="Times New Roman"/>
          <w:b/>
          <w:color w:val="000000"/>
          <w:sz w:val="23"/>
          <w:szCs w:val="23"/>
        </w:rPr>
        <w:t>útil</w:t>
      </w:r>
      <w:r>
        <w:rPr>
          <w:rFonts w:ascii="Times New Roman" w:hAnsi="Times New Roman"/>
          <w:b/>
          <w:color w:val="000000"/>
          <w:spacing w:val="-7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antes</w:t>
      </w:r>
      <w:r>
        <w:rPr>
          <w:rFonts w:ascii="Times New Roman" w:hAnsi="Times New Roman"/>
          <w:color w:val="000000"/>
          <w:spacing w:val="-9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da</w:t>
      </w:r>
      <w:r>
        <w:rPr>
          <w:rFonts w:ascii="Times New Roman" w:hAnsi="Times New Roman"/>
          <w:color w:val="000000"/>
          <w:spacing w:val="-9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realização</w:t>
      </w:r>
      <w:r>
        <w:rPr>
          <w:rFonts w:ascii="Times New Roman" w:hAnsi="Times New Roman"/>
          <w:color w:val="000000"/>
          <w:spacing w:val="-8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do</w:t>
      </w:r>
      <w:r>
        <w:rPr>
          <w:rFonts w:ascii="Times New Roman" w:hAnsi="Times New Roman"/>
          <w:color w:val="000000"/>
          <w:spacing w:val="-8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certame, através</w:t>
      </w:r>
      <w:r>
        <w:rPr>
          <w:rFonts w:ascii="Times New Roman" w:hAnsi="Times New Roman"/>
          <w:color w:val="000000"/>
          <w:spacing w:val="-15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>de</w:t>
      </w:r>
      <w:r>
        <w:rPr>
          <w:rFonts w:ascii="Times New Roman" w:hAnsi="Times New Roman"/>
          <w:color w:val="000000"/>
          <w:spacing w:val="-3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 xml:space="preserve">contato pelo endereço eletrônico </w:t>
      </w:r>
      <w:hyperlink r:id="rId7">
        <w:r>
          <w:rPr>
            <w:rStyle w:val="ListLabel23"/>
            <w:rFonts w:ascii="Times New Roman" w:hAnsi="Times New Roman"/>
            <w:sz w:val="23"/>
            <w:szCs w:val="23"/>
          </w:rPr>
          <w:t>obras@saogabriel.es.gov.br</w:t>
        </w:r>
      </w:hyperlink>
      <w:r>
        <w:rPr>
          <w:rFonts w:ascii="Times New Roman" w:hAnsi="Times New Roman"/>
          <w:color w:val="000000"/>
          <w:sz w:val="23"/>
          <w:szCs w:val="23"/>
        </w:rPr>
        <w:t xml:space="preserve"> e por telefone (27)3727-1383 ou (27) 99982-4121, de modo que seu agendamento não coincida com o agendamento de outros licitantes.</w:t>
      </w:r>
    </w:p>
    <w:p>
      <w:pPr>
        <w:pStyle w:val="ListParagraph"/>
        <w:tabs>
          <w:tab w:val="clear" w:pos="708"/>
          <w:tab w:val="left" w:pos="483" w:leader="none"/>
        </w:tabs>
        <w:ind w:left="0" w:right="196"/>
        <w:jc w:val="both"/>
        <w:rPr>
          <w:rFonts w:ascii="Times New Roman" w:hAnsi="Times New Roman"/>
          <w:sz w:val="23"/>
          <w:szCs w:val="23"/>
        </w:rPr>
      </w:pPr>
      <w:r>
        <w:rPr>
          <w:rFonts w:cs="Arial" w:ascii="Times New Roman" w:hAnsi="Times New Roman"/>
          <w:b/>
          <w:bCs/>
          <w:color w:val="000000"/>
          <w:sz w:val="23"/>
          <w:szCs w:val="23"/>
        </w:rPr>
        <w:t>c)</w:t>
      </w:r>
      <w:r>
        <w:rPr>
          <w:rFonts w:cs="Arial" w:ascii="Times New Roman" w:hAnsi="Times New Roman"/>
          <w:color w:val="000000"/>
          <w:sz w:val="23"/>
          <w:szCs w:val="23"/>
        </w:rPr>
        <w:t xml:space="preserve"> Caso</w:t>
      </w:r>
      <w:r>
        <w:rPr>
          <w:rFonts w:cs="Arial" w:ascii="Times New Roman" w:hAnsi="Times New Roman"/>
          <w:color w:val="000000"/>
          <w:spacing w:val="-7"/>
          <w:sz w:val="23"/>
          <w:szCs w:val="23"/>
        </w:rPr>
        <w:t xml:space="preserve"> </w:t>
      </w:r>
      <w:r>
        <w:rPr>
          <w:rFonts w:cs="Arial" w:ascii="Times New Roman" w:hAnsi="Times New Roman"/>
          <w:color w:val="000000"/>
          <w:sz w:val="23"/>
          <w:szCs w:val="23"/>
        </w:rPr>
        <w:t>o</w:t>
      </w:r>
      <w:r>
        <w:rPr>
          <w:rFonts w:cs="Arial" w:ascii="Times New Roman" w:hAnsi="Times New Roman"/>
          <w:color w:val="000000"/>
          <w:spacing w:val="-7"/>
          <w:sz w:val="23"/>
          <w:szCs w:val="23"/>
        </w:rPr>
        <w:t xml:space="preserve"> </w:t>
      </w:r>
      <w:r>
        <w:rPr>
          <w:rFonts w:cs="Arial" w:ascii="Times New Roman" w:hAnsi="Times New Roman"/>
          <w:color w:val="000000"/>
          <w:sz w:val="23"/>
          <w:szCs w:val="23"/>
        </w:rPr>
        <w:t>licitante</w:t>
      </w:r>
      <w:r>
        <w:rPr>
          <w:rFonts w:cs="Arial" w:ascii="Times New Roman" w:hAnsi="Times New Roman"/>
          <w:color w:val="000000"/>
          <w:spacing w:val="-8"/>
          <w:sz w:val="23"/>
          <w:szCs w:val="23"/>
        </w:rPr>
        <w:t xml:space="preserve"> </w:t>
      </w:r>
      <w:r>
        <w:rPr>
          <w:rFonts w:cs="Arial" w:ascii="Times New Roman" w:hAnsi="Times New Roman"/>
          <w:color w:val="000000"/>
          <w:sz w:val="23"/>
          <w:szCs w:val="23"/>
        </w:rPr>
        <w:t>opte</w:t>
      </w:r>
      <w:r>
        <w:rPr>
          <w:rFonts w:cs="Arial" w:ascii="Times New Roman" w:hAnsi="Times New Roman"/>
          <w:color w:val="000000"/>
          <w:spacing w:val="-8"/>
          <w:sz w:val="23"/>
          <w:szCs w:val="23"/>
        </w:rPr>
        <w:t xml:space="preserve"> </w:t>
      </w:r>
      <w:r>
        <w:rPr>
          <w:rFonts w:cs="Arial" w:ascii="Times New Roman" w:hAnsi="Times New Roman"/>
          <w:color w:val="000000"/>
          <w:sz w:val="23"/>
          <w:szCs w:val="23"/>
        </w:rPr>
        <w:t>por</w:t>
      </w:r>
      <w:r>
        <w:rPr>
          <w:rFonts w:cs="Arial" w:ascii="Times New Roman" w:hAnsi="Times New Roman"/>
          <w:color w:val="000000"/>
          <w:spacing w:val="-8"/>
          <w:sz w:val="23"/>
          <w:szCs w:val="23"/>
        </w:rPr>
        <w:t xml:space="preserve"> </w:t>
      </w:r>
      <w:r>
        <w:rPr>
          <w:rFonts w:cs="Arial" w:ascii="Times New Roman" w:hAnsi="Times New Roman"/>
          <w:color w:val="000000"/>
          <w:sz w:val="23"/>
          <w:szCs w:val="23"/>
        </w:rPr>
        <w:t>não</w:t>
      </w:r>
      <w:r>
        <w:rPr>
          <w:rFonts w:cs="Arial" w:ascii="Times New Roman" w:hAnsi="Times New Roman"/>
          <w:color w:val="000000"/>
          <w:spacing w:val="-7"/>
          <w:sz w:val="23"/>
          <w:szCs w:val="23"/>
        </w:rPr>
        <w:t xml:space="preserve"> </w:t>
      </w:r>
      <w:r>
        <w:rPr>
          <w:rFonts w:cs="Arial" w:ascii="Times New Roman" w:hAnsi="Times New Roman"/>
          <w:color w:val="000000"/>
          <w:sz w:val="23"/>
          <w:szCs w:val="23"/>
        </w:rPr>
        <w:t>realizar</w:t>
      </w:r>
      <w:r>
        <w:rPr>
          <w:rFonts w:cs="Arial" w:ascii="Times New Roman" w:hAnsi="Times New Roman"/>
          <w:color w:val="000000"/>
          <w:spacing w:val="-9"/>
          <w:sz w:val="23"/>
          <w:szCs w:val="23"/>
        </w:rPr>
        <w:t xml:space="preserve"> </w:t>
      </w:r>
      <w:r>
        <w:rPr>
          <w:rFonts w:cs="Arial" w:ascii="Times New Roman" w:hAnsi="Times New Roman"/>
          <w:color w:val="000000"/>
          <w:sz w:val="23"/>
          <w:szCs w:val="23"/>
        </w:rPr>
        <w:t>vistoria,</w:t>
      </w:r>
      <w:r>
        <w:rPr>
          <w:rFonts w:cs="Arial" w:ascii="Times New Roman" w:hAnsi="Times New Roman"/>
          <w:color w:val="000000"/>
          <w:spacing w:val="-8"/>
          <w:sz w:val="23"/>
          <w:szCs w:val="23"/>
        </w:rPr>
        <w:t xml:space="preserve"> </w:t>
      </w:r>
      <w:r>
        <w:rPr>
          <w:rFonts w:cs="Arial" w:ascii="Times New Roman" w:hAnsi="Times New Roman"/>
          <w:color w:val="000000"/>
          <w:sz w:val="23"/>
          <w:szCs w:val="23"/>
        </w:rPr>
        <w:t>poderá</w:t>
      </w:r>
      <w:r>
        <w:rPr>
          <w:rFonts w:cs="Arial" w:ascii="Times New Roman" w:hAnsi="Times New Roman"/>
          <w:color w:val="000000"/>
          <w:spacing w:val="-9"/>
          <w:sz w:val="23"/>
          <w:szCs w:val="23"/>
        </w:rPr>
        <w:t xml:space="preserve"> </w:t>
      </w:r>
      <w:r>
        <w:rPr>
          <w:rFonts w:cs="Arial" w:ascii="Times New Roman" w:hAnsi="Times New Roman"/>
          <w:color w:val="000000"/>
          <w:sz w:val="23"/>
          <w:szCs w:val="23"/>
        </w:rPr>
        <w:t>substituir</w:t>
      </w:r>
      <w:r>
        <w:rPr>
          <w:rFonts w:cs="Arial" w:ascii="Times New Roman" w:hAnsi="Times New Roman"/>
          <w:color w:val="000000"/>
          <w:spacing w:val="-8"/>
          <w:sz w:val="23"/>
          <w:szCs w:val="23"/>
        </w:rPr>
        <w:t xml:space="preserve"> </w:t>
      </w:r>
      <w:r>
        <w:rPr>
          <w:rFonts w:cs="Arial" w:ascii="Times New Roman" w:hAnsi="Times New Roman"/>
          <w:color w:val="000000"/>
          <w:sz w:val="23"/>
          <w:szCs w:val="23"/>
        </w:rPr>
        <w:t>a</w:t>
      </w:r>
      <w:r>
        <w:rPr>
          <w:rFonts w:cs="Arial" w:ascii="Times New Roman" w:hAnsi="Times New Roman"/>
          <w:color w:val="000000"/>
          <w:spacing w:val="-8"/>
          <w:sz w:val="23"/>
          <w:szCs w:val="23"/>
        </w:rPr>
        <w:t xml:space="preserve"> </w:t>
      </w:r>
      <w:r>
        <w:rPr>
          <w:rFonts w:cs="Arial" w:ascii="Times New Roman" w:hAnsi="Times New Roman"/>
          <w:color w:val="000000"/>
          <w:sz w:val="23"/>
          <w:szCs w:val="23"/>
        </w:rPr>
        <w:t>declaração</w:t>
      </w:r>
      <w:r>
        <w:rPr>
          <w:rFonts w:cs="Arial" w:ascii="Times New Roman" w:hAnsi="Times New Roman"/>
          <w:color w:val="000000"/>
          <w:spacing w:val="-7"/>
          <w:sz w:val="23"/>
          <w:szCs w:val="23"/>
        </w:rPr>
        <w:t xml:space="preserve"> </w:t>
      </w:r>
      <w:r>
        <w:rPr>
          <w:rFonts w:cs="Arial" w:ascii="Times New Roman" w:hAnsi="Times New Roman"/>
          <w:color w:val="000000"/>
          <w:sz w:val="23"/>
          <w:szCs w:val="23"/>
        </w:rPr>
        <w:t>exigida</w:t>
      </w:r>
      <w:r>
        <w:rPr>
          <w:rFonts w:cs="Arial" w:ascii="Times New Roman" w:hAnsi="Times New Roman"/>
          <w:color w:val="000000"/>
          <w:spacing w:val="-8"/>
          <w:sz w:val="23"/>
          <w:szCs w:val="23"/>
        </w:rPr>
        <w:t xml:space="preserve"> </w:t>
      </w:r>
      <w:r>
        <w:rPr>
          <w:rFonts w:cs="Arial" w:ascii="Times New Roman" w:hAnsi="Times New Roman"/>
          <w:color w:val="000000"/>
          <w:sz w:val="23"/>
          <w:szCs w:val="23"/>
        </w:rPr>
        <w:t>no presente item por declaração formal assinada pelo seu responsável técnico acerca do conhecimento pleno das condições e peculiaridades da contratação, desde que seja anexada junto a documentação de habilitação.</w:t>
      </w:r>
    </w:p>
    <w:p>
      <w:pPr>
        <w:pStyle w:val="Standard"/>
        <w:ind w:left="16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  <w:u w:val="single"/>
        </w:rPr>
        <w:t>19.13 – QUALIFICAÇÃO ECONÔMICA – FINANCEIRA.</w:t>
      </w:r>
    </w:p>
    <w:p>
      <w:pPr>
        <w:pStyle w:val="Standard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a)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Certidão negativa de falência, recuperação judicial e extrajudicial, expedida pelo cartório distribuidor da sede da Licitante ou por meio digital, emitida em até 30 (trinta) dias anteriores à data de abertura da Licitação;</w:t>
      </w:r>
    </w:p>
    <w:p>
      <w:pPr>
        <w:pStyle w:val="Standard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a.1)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Havendo algum prazo de validade estabelecido por cartório na certidão citada na letra anterior, será considerado o prazo constante da certidão para comprovação da sua validade.</w:t>
      </w:r>
    </w:p>
    <w:p>
      <w:pPr>
        <w:pStyle w:val="Standard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a.2)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Para a contagem do prazo estabelecido na letra </w:t>
      </w:r>
      <w:r>
        <w:rPr>
          <w:rFonts w:cs="Verdana" w:ascii="Times New Roman" w:hAnsi="Times New Roman"/>
          <w:b/>
          <w:color w:val="000000"/>
          <w:sz w:val="23"/>
          <w:szCs w:val="23"/>
        </w:rPr>
        <w:t>“a”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deste capítulo, será contado a partir do primeiro dia que antecede a data da realização desta licitação.</w:t>
      </w:r>
    </w:p>
    <w:p>
      <w:pPr>
        <w:pStyle w:val="Standard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a.3)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Standard"/>
        <w:tabs>
          <w:tab w:val="clear" w:pos="708"/>
          <w:tab w:val="left" w:pos="397" w:leader="none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 xml:space="preserve">b) </w:t>
      </w:r>
      <w:r>
        <w:rPr>
          <w:rFonts w:cs="Verdana" w:ascii="Times New Roman" w:hAnsi="Times New Roman"/>
          <w:b/>
          <w:bCs/>
          <w:color w:val="000000"/>
          <w:sz w:val="23"/>
          <w:szCs w:val="23"/>
        </w:rPr>
        <w:t>BALANÇO PATRIMONIAL DA EMPRESA</w:t>
      </w:r>
      <w:r>
        <w:rPr>
          <w:rFonts w:cs="Verdana" w:ascii="Times New Roman" w:hAnsi="Times New Roman"/>
          <w:color w:val="000000"/>
          <w:sz w:val="23"/>
          <w:szCs w:val="23"/>
        </w:rPr>
        <w:t>. A exigência é salutar, pois se trata de empreendimento de vultosos valores. Diante disso, a Administração Pública não pode permitir a participação de aventureiros e de empresas que não conseguirão ter fluxo de caixa para executar o empreendimento. Por fim, o interesse social do projeto demanda uma maior segurança.</w:t>
      </w:r>
    </w:p>
    <w:p>
      <w:pPr>
        <w:pStyle w:val="Standard"/>
        <w:tabs>
          <w:tab w:val="clear" w:pos="708"/>
          <w:tab w:val="left" w:pos="397" w:leader="none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b1) PARA MICROEMPRESAS</w:t>
      </w:r>
      <w:r>
        <w:rPr>
          <w:rFonts w:cs="Verdana" w:ascii="Times New Roman" w:hAnsi="Times New Roman"/>
          <w:color w:val="000000"/>
          <w:sz w:val="23"/>
          <w:szCs w:val="23"/>
        </w:rPr>
        <w:t>:</w:t>
      </w:r>
    </w:p>
    <w:p>
      <w:pPr>
        <w:pStyle w:val="Standard"/>
        <w:tabs>
          <w:tab w:val="clear" w:pos="708"/>
          <w:tab w:val="left" w:pos="397" w:leader="none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b.1.1)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A Licitante deverá apresentar cópia autentica, conforme lei municipal 13726\2018, do Balanço Patrimonial e das Demonstrações Contábeis do último exercício social, já exigíveis e apresentados na forma da Lei, incluindo a apresentação do Termo de Abertura e Termo de Encerramento do Livro Diário, devidamente registrados na Junta Comercial do Estado da Sede da licitante, obedecendo aos critérios estabelecidos pelo CFC – Conselho Federal de Contabilidade através da Resolução nº. 1.418/2012, que aprovou a Instrução Técnica Geral 1000 = ITG 1000, Modelo Contábil para as </w:t>
      </w:r>
      <w:r>
        <w:rPr>
          <w:rFonts w:cs="Verdana" w:ascii="Times New Roman" w:hAnsi="Times New Roman"/>
          <w:b/>
          <w:color w:val="000000"/>
          <w:sz w:val="23"/>
          <w:szCs w:val="23"/>
        </w:rPr>
        <w:t>Micro Empresas e para as Empresas de Pequeno Porte, no caso da licitante enquadrar-se como ME ou EPP</w:t>
      </w:r>
      <w:r>
        <w:rPr>
          <w:rFonts w:cs="Verdana" w:ascii="Times New Roman" w:hAnsi="Times New Roman"/>
          <w:color w:val="000000"/>
          <w:sz w:val="23"/>
          <w:szCs w:val="23"/>
        </w:rPr>
        <w:t>:</w:t>
      </w:r>
    </w:p>
    <w:p>
      <w:pPr>
        <w:pStyle w:val="Standard"/>
        <w:tabs>
          <w:tab w:val="clear" w:pos="708"/>
          <w:tab w:val="left" w:pos="397" w:leader="none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b.1.2)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A ITG 1000 – do CFC – Conselho Federal de Contabilidade, estabelece a exigência de se apresentar no mínimo o Balanço Patrimonial, a Demonstração do Resultado do Exercício, a Demonstração dos Fluxos de Caixa e as Notas Explicativas, inclusive com as colunas comparativas de no mínimo 02 (dois) exercícios;</w:t>
      </w:r>
    </w:p>
    <w:p>
      <w:pPr>
        <w:pStyle w:val="Standard"/>
        <w:tabs>
          <w:tab w:val="clear" w:pos="708"/>
          <w:tab w:val="left" w:pos="397" w:leader="none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b.1.3)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Quando a empresa apresentar o SPED – Contábil enviado para A RFB – Receita Federal do Brasil, este suprirá os documentos listados acima, desde que também contenha as Demonstrações Contábeis especificadas na letra “a”, quais sejam: Balanço Patrimonial, a Demonstração do Resultado do Exercício, a Demonstração dos Fluxos de Caixa e as Notas Explicativas, e quando possível, com as colunas comparativas de no mínimo (dois) exercícios;</w:t>
      </w:r>
    </w:p>
    <w:p>
      <w:pPr>
        <w:pStyle w:val="Standard"/>
        <w:tabs>
          <w:tab w:val="clear" w:pos="708"/>
          <w:tab w:val="left" w:pos="397" w:leader="none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b.2) PARA EMPRESA DE MÉDIO E GRANDE PORTE</w:t>
      </w:r>
    </w:p>
    <w:p>
      <w:pPr>
        <w:pStyle w:val="Standard"/>
        <w:tabs>
          <w:tab w:val="clear" w:pos="708"/>
          <w:tab w:val="left" w:pos="397" w:leader="none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bCs/>
          <w:color w:val="000000"/>
          <w:sz w:val="23"/>
          <w:szCs w:val="23"/>
        </w:rPr>
        <w:t>b.2.1)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A Licitante deverá apresentar cópia autentica do Balanço Patrimonial e das Demonstrações Contábeis do último exercício social, já exigíveis e apresentados na forma da Lei, inclusive a apresentação do Termo de Abertura e Termo de Encerramento do Livro Diário, devidamente registrados na Junta Comercial do Estado da Sede da licitante, obedecendo aos critérios estabelecidos pelo CFC através da Resolução nº. 1.255/2009, que aprovou a Norma Brasileira de Contabilidade – NBC TG 1000, Modelo Contábil para as </w:t>
      </w:r>
      <w:r>
        <w:rPr>
          <w:rFonts w:cs="Verdana" w:ascii="Times New Roman" w:hAnsi="Times New Roman"/>
          <w:b/>
          <w:color w:val="000000"/>
          <w:sz w:val="23"/>
          <w:szCs w:val="23"/>
        </w:rPr>
        <w:t>Médias Empresas, no caso da licitante enquadrar-se como Média empresa</w:t>
      </w:r>
      <w:r>
        <w:rPr>
          <w:rFonts w:cs="Verdana" w:ascii="Times New Roman" w:hAnsi="Times New Roman"/>
          <w:color w:val="000000"/>
          <w:sz w:val="23"/>
          <w:szCs w:val="23"/>
        </w:rPr>
        <w:t>:</w:t>
      </w:r>
    </w:p>
    <w:p>
      <w:pPr>
        <w:pStyle w:val="Standard"/>
        <w:tabs>
          <w:tab w:val="clear" w:pos="708"/>
          <w:tab w:val="left" w:pos="397" w:leader="none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b.2.2)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A NBC TG 1000 do CFC – Conselho Federal de Contabilidade, estabelece a exigência de se apresentar no mínimo o Balanço Patrimonial, a Demonstração do Resultado do Exercício e a Demonstração do Resultado Abrangente, a Demonstração das Mutações do patrimônio líquido, a Demonstração dos Lucros ou Prejuízos Acumulados, a Demonstração dos Fluxos de Caixa e as Notas Explicativas, inclusive com colunas comparativas de no mínimo 02 (dois) exercícios sociais;</w:t>
      </w:r>
    </w:p>
    <w:p>
      <w:pPr>
        <w:pStyle w:val="Standard"/>
        <w:tabs>
          <w:tab w:val="clear" w:pos="708"/>
          <w:tab w:val="left" w:pos="397" w:leader="none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b.2.3)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Quando a empresa apresentar o SPED-Contábil enviado para A RFB – Receita Federal do Brasil, este suprirá os documentos listados acima, desde que também contenha as Demonstrações Contábeis especificadas na letra “a”, quais sejam: Balanço Patrimonial, a Demonstração do Resultado do Exercício, a Demonstração dos Fluxos de Caixa e as Notas Explicativas, e quando possível, com as colunas comparativas de no mínimo (dois) exercícios;</w:t>
      </w:r>
    </w:p>
    <w:p>
      <w:pPr>
        <w:pStyle w:val="Standard"/>
        <w:tabs>
          <w:tab w:val="clear" w:pos="708"/>
          <w:tab w:val="left" w:pos="397" w:leader="none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b.3) S/A – Sociedades Anônimas</w:t>
      </w:r>
    </w:p>
    <w:p>
      <w:pPr>
        <w:pStyle w:val="Standard"/>
        <w:tabs>
          <w:tab w:val="clear" w:pos="708"/>
          <w:tab w:val="left" w:pos="397" w:leader="none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bCs/>
          <w:color w:val="000000"/>
          <w:sz w:val="23"/>
          <w:szCs w:val="23"/>
        </w:rPr>
        <w:t>a)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No caso de </w:t>
      </w:r>
      <w:r>
        <w:rPr>
          <w:rFonts w:cs="Verdana" w:ascii="Times New Roman" w:hAnsi="Times New Roman"/>
          <w:b/>
          <w:color w:val="000000"/>
          <w:sz w:val="23"/>
          <w:szCs w:val="23"/>
        </w:rPr>
        <w:t>S/A – Sociedades Anônimas</w:t>
      </w:r>
      <w:r>
        <w:rPr>
          <w:rFonts w:cs="Verdana" w:ascii="Times New Roman" w:hAnsi="Times New Roman"/>
          <w:color w:val="000000"/>
          <w:sz w:val="23"/>
          <w:szCs w:val="23"/>
        </w:rPr>
        <w:t>, obrigadas a publicarem suas peças contábeis, deverá ser apresentada a cópia autenticada dos termos de abertura e encerramento do Livro Diário relativo ao último exercício exigível na forma da lei, devidamente registrado no órgão competente, bem como cópia da referida publicação onde conste o Balanço Patrimonial, a Demonstração de Resultado do Exercício, a Demonstração dos Fluxos de Caixa, a Demonstração das Mutações do Patrimônio Líquido e as Notas Explicativas, conforme estabelece a Lei nº. 6.404/1976 e suas alterações;</w:t>
      </w:r>
    </w:p>
    <w:p>
      <w:pPr>
        <w:pStyle w:val="Standard"/>
        <w:tabs>
          <w:tab w:val="clear" w:pos="708"/>
          <w:tab w:val="left" w:pos="397" w:leader="none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b.4)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As </w:t>
      </w:r>
      <w:r>
        <w:rPr>
          <w:rFonts w:cs="Verdana" w:ascii="Times New Roman" w:hAnsi="Times New Roman"/>
          <w:b/>
          <w:color w:val="000000"/>
          <w:sz w:val="23"/>
          <w:szCs w:val="23"/>
        </w:rPr>
        <w:t>empresas constituídas no exercício em curso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deverão apresentar a cópia do balanço de abertura ou cópia do livro diário contendo o balanço de abertura, inclusive os termos de abertura e encerramento.</w:t>
      </w:r>
    </w:p>
    <w:p>
      <w:pPr>
        <w:pStyle w:val="Standard"/>
        <w:tabs>
          <w:tab w:val="clear" w:pos="708"/>
          <w:tab w:val="left" w:pos="397" w:leader="none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c) Apresentação de Relatório Contábil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, contendo no mínimo os seguintes Índices Financeiros extraídos do Balanço Patrimonial apresentado nos itens acima, comprovando a boa situação financeira da licitante, vedada a sua substituição por balancetes ou balanços provisórios (exceto no caso de empresas constituídas no ano em curso), </w:t>
      </w:r>
      <w:r>
        <w:rPr>
          <w:rFonts w:cs="Verdana" w:ascii="Times New Roman" w:hAnsi="Times New Roman"/>
          <w:b/>
          <w:color w:val="000000"/>
          <w:sz w:val="23"/>
          <w:szCs w:val="23"/>
        </w:rPr>
        <w:t>devidamente assinado pelo Contabilista Responsável pela Contabilidade da licitante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e devidamente registrado no CRC – Conselho Regional de Contabilidade.</w:t>
      </w:r>
    </w:p>
    <w:p>
      <w:pPr>
        <w:pStyle w:val="Standard"/>
        <w:tabs>
          <w:tab w:val="clear" w:pos="708"/>
          <w:tab w:val="left" w:pos="397" w:leader="none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c.1) Os Índices financeiros que deverão ser comprovados são:</w:t>
      </w:r>
    </w:p>
    <w:p>
      <w:pPr>
        <w:pStyle w:val="Standard"/>
        <w:tabs>
          <w:tab w:val="clear" w:pos="708"/>
          <w:tab w:val="left" w:pos="1985" w:leader="none"/>
          <w:tab w:val="left" w:pos="2268" w:leader="none"/>
        </w:tabs>
        <w:ind w:hanging="567" w:left="567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ab/>
        <w:t>Índice de Liquidez Geral - ILG igual ou superior a 1,00 (um)</w:t>
      </w:r>
    </w:p>
    <w:p>
      <w:pPr>
        <w:pStyle w:val="Standard"/>
        <w:ind w:hanging="567" w:left="567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ab/>
        <w:t>ILG</w:t>
        <w:tab/>
        <w:t xml:space="preserve">= </w:t>
        <w:tab/>
      </w:r>
      <w:r>
        <w:rPr>
          <w:rFonts w:cs="Verdana" w:ascii="Times New Roman" w:hAnsi="Times New Roman"/>
          <w:color w:val="000000"/>
          <w:sz w:val="23"/>
          <w:szCs w:val="23"/>
          <w:u w:val="single"/>
        </w:rPr>
        <w:t>Ativo Circulante + Realizável a Longo Prazo</w:t>
      </w:r>
    </w:p>
    <w:p>
      <w:pPr>
        <w:pStyle w:val="Standard"/>
        <w:ind w:hanging="567" w:left="567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ab/>
        <w:tab/>
        <w:t xml:space="preserve">          </w:t>
        <w:tab/>
        <w:tab/>
        <w:t>Passivo Circulante + Exigível a Longo Prazo</w:t>
      </w:r>
    </w:p>
    <w:p>
      <w:pPr>
        <w:pStyle w:val="Standard"/>
        <w:ind w:hanging="567" w:left="567"/>
        <w:jc w:val="both"/>
        <w:rPr>
          <w:rFonts w:ascii="Times New Roman" w:hAnsi="Times New Roman" w:cs="Verdana"/>
          <w:color w:val="000000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</w:r>
    </w:p>
    <w:p>
      <w:pPr>
        <w:pStyle w:val="Standard"/>
        <w:tabs>
          <w:tab w:val="clear" w:pos="708"/>
          <w:tab w:val="left" w:pos="1985" w:leader="none"/>
          <w:tab w:val="left" w:pos="2268" w:leader="none"/>
        </w:tabs>
        <w:ind w:hanging="567" w:left="567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ab/>
        <w:t>Índice de Liquidez Corrente – ILC igual ou superior a 1,00 (um)</w:t>
      </w:r>
    </w:p>
    <w:p>
      <w:pPr>
        <w:pStyle w:val="Standard"/>
        <w:ind w:hanging="567" w:left="567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ab/>
        <w:t>ILC</w:t>
        <w:tab/>
        <w:t xml:space="preserve">=     </w:t>
        <w:tab/>
      </w:r>
      <w:r>
        <w:rPr>
          <w:rFonts w:cs="Verdana" w:ascii="Times New Roman" w:hAnsi="Times New Roman"/>
          <w:color w:val="000000"/>
          <w:sz w:val="23"/>
          <w:szCs w:val="23"/>
          <w:u w:val="single"/>
        </w:rPr>
        <w:t>Ativo Circulante</w:t>
      </w:r>
    </w:p>
    <w:p>
      <w:pPr>
        <w:pStyle w:val="Standard"/>
        <w:tabs>
          <w:tab w:val="clear" w:pos="708"/>
          <w:tab w:val="left" w:pos="2694" w:leader="none"/>
        </w:tabs>
        <w:ind w:hanging="567" w:left="567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ab/>
        <w:tab/>
        <w:t>Passivo Circulante</w:t>
      </w:r>
    </w:p>
    <w:p>
      <w:pPr>
        <w:pStyle w:val="Standard"/>
        <w:ind w:hanging="567" w:left="567"/>
        <w:jc w:val="both"/>
        <w:rPr>
          <w:rFonts w:ascii="Times New Roman" w:hAnsi="Times New Roman" w:cs="Verdana"/>
          <w:color w:val="000000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</w:r>
    </w:p>
    <w:p>
      <w:pPr>
        <w:pStyle w:val="Standard"/>
        <w:tabs>
          <w:tab w:val="clear" w:pos="708"/>
          <w:tab w:val="left" w:pos="1985" w:leader="none"/>
          <w:tab w:val="left" w:pos="2268" w:leader="none"/>
        </w:tabs>
        <w:ind w:hanging="567" w:left="567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ab/>
        <w:t>Índice de Endividamento Geral – IEG igual ou inferior a 1,00 (um)</w:t>
      </w:r>
    </w:p>
    <w:p>
      <w:pPr>
        <w:pStyle w:val="Standard"/>
        <w:ind w:left="567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>IEG</w:t>
        <w:tab/>
        <w:t xml:space="preserve">= </w:t>
      </w:r>
      <w:r>
        <w:rPr>
          <w:rFonts w:cs="Verdana" w:ascii="Times New Roman" w:hAnsi="Times New Roman"/>
          <w:color w:val="000000"/>
          <w:sz w:val="23"/>
          <w:szCs w:val="23"/>
          <w:u w:val="single"/>
        </w:rPr>
        <w:t>Passivo Circulante + Exigível à Longo Prazo</w:t>
      </w:r>
    </w:p>
    <w:p>
      <w:pPr>
        <w:pStyle w:val="Standard"/>
        <w:tabs>
          <w:tab w:val="clear" w:pos="708"/>
          <w:tab w:val="left" w:pos="0" w:leader="none"/>
          <w:tab w:val="left" w:pos="426" w:leader="none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color w:val="000000"/>
          <w:sz w:val="23"/>
          <w:szCs w:val="23"/>
        </w:rPr>
        <w:tab/>
        <w:t xml:space="preserve">                                  Ativo Total</w:t>
      </w:r>
    </w:p>
    <w:p>
      <w:pPr>
        <w:pStyle w:val="Standard1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c.2)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Os licitantes que apresentarem resultado menor do que 1,00 (um), em qualquer dos índices referidos acima, quando de suas habilitações, deverão comprovar </w:t>
      </w:r>
      <w:r>
        <w:rPr>
          <w:rFonts w:cs="Verdana" w:ascii="Times New Roman" w:hAnsi="Times New Roman"/>
          <w:color w:val="000000"/>
          <w:sz w:val="23"/>
          <w:szCs w:val="23"/>
          <w:u w:val="single"/>
        </w:rPr>
        <w:t>patrimônio líquido mínimo, na forma dos §§ 2 º e 3º, do artigo 31, da Lei nº. 8.666/1993;</w:t>
      </w:r>
    </w:p>
    <w:p>
      <w:pPr>
        <w:pStyle w:val="Standard1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c.3)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A comprovação de patrimônio líquido será equivalente a 10% (dez por cento) do valor estimado para contratação, considerado o valor estimado para o período de 12 (doze) meses, conforme determina a Lei nº 8.666/1993, admitida a atualização para a data de apresentação da proposta, por meio de índices oficiais;</w:t>
      </w:r>
    </w:p>
    <w:p>
      <w:pPr>
        <w:pStyle w:val="Standard1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c.4)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A comprovação dos índices referidos no item c.1, bem como do patrimônio líquido aludido no item c.2, deverão se basear nas informações constantes nos documentos listados no item b desta cláusula, constituindo obrigação exclusiva do licitante a apresentação dos cálculos de forma objetiva, sob pena de inabilitação.</w:t>
      </w:r>
    </w:p>
    <w:p>
      <w:pPr>
        <w:pStyle w:val="Standard1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color w:val="000000"/>
          <w:sz w:val="23"/>
          <w:szCs w:val="23"/>
        </w:rPr>
        <w:t>c.5)</w:t>
      </w:r>
      <w:r>
        <w:rPr>
          <w:rFonts w:cs="Verdana" w:ascii="Times New Roman" w:hAnsi="Times New Roman"/>
          <w:color w:val="000000"/>
          <w:sz w:val="23"/>
          <w:szCs w:val="23"/>
        </w:rPr>
        <w:t xml:space="preserve"> Caso o objeto contratual venha a ser cumprido por filial do licitante, os documentos exigidos neste item também deverão ser apresentados pela filial executora do contrato, sem prejuízo para a exigência de apresentação dos documentos relativos à sua matriz.</w:t>
      </w:r>
    </w:p>
    <w:p>
      <w:pPr>
        <w:pStyle w:val="Standard1"/>
        <w:jc w:val="both"/>
        <w:rPr>
          <w:rFonts w:ascii="Times New Roman" w:hAnsi="Times New Roman" w:cs="Verdana"/>
          <w:b/>
          <w:bCs/>
          <w:color w:val="000000"/>
          <w:sz w:val="23"/>
          <w:szCs w:val="23"/>
          <w:u w:val="single"/>
        </w:rPr>
      </w:pPr>
      <w:r>
        <w:rPr>
          <w:rFonts w:cs="Verdana" w:ascii="Times New Roman" w:hAnsi="Times New Roman"/>
          <w:b/>
          <w:bCs/>
          <w:color w:val="000000"/>
          <w:sz w:val="23"/>
          <w:szCs w:val="23"/>
          <w:u w:val="single"/>
        </w:rPr>
      </w:r>
    </w:p>
    <w:p>
      <w:pPr>
        <w:pStyle w:val="Standard1"/>
        <w:jc w:val="both"/>
        <w:rPr>
          <w:rFonts w:ascii="Times New Roman" w:hAnsi="Times New Roman"/>
          <w:sz w:val="23"/>
          <w:szCs w:val="23"/>
        </w:rPr>
      </w:pPr>
      <w:r>
        <w:rPr>
          <w:rFonts w:cs="Verdana" w:ascii="Times New Roman" w:hAnsi="Times New Roman"/>
          <w:b/>
          <w:bCs/>
          <w:color w:val="000000"/>
          <w:sz w:val="23"/>
          <w:szCs w:val="23"/>
          <w:u w:val="single"/>
        </w:rPr>
        <w:t xml:space="preserve">19.14 </w:t>
      </w:r>
      <w:r>
        <w:rPr>
          <w:rFonts w:eastAsia="Batang, 바탕" w:cs="Verdana" w:ascii="Times New Roman" w:hAnsi="Times New Roman"/>
          <w:b/>
          <w:color w:val="000000"/>
          <w:sz w:val="23"/>
          <w:szCs w:val="23"/>
          <w:u w:val="single"/>
        </w:rPr>
        <w:t xml:space="preserve"> – Cumprimento ao disposto no inciso XXXIII do Art. 7º da Constituição Federal.</w:t>
      </w:r>
    </w:p>
    <w:p>
      <w:pPr>
        <w:pStyle w:val="Normal"/>
        <w:jc w:val="both"/>
        <w:rPr>
          <w:rFonts w:ascii="Times New Roman" w:hAnsi="Times New Roman"/>
          <w:sz w:val="23"/>
          <w:szCs w:val="23"/>
        </w:rPr>
      </w:pPr>
      <w:r>
        <w:rPr>
          <w:rFonts w:eastAsia="Batang, 바탕" w:cs="Verdana"/>
          <w:b/>
          <w:color w:val="000000"/>
          <w:sz w:val="23"/>
          <w:szCs w:val="23"/>
        </w:rPr>
        <w:t xml:space="preserve">a) </w:t>
      </w:r>
      <w:r>
        <w:rPr>
          <w:rFonts w:eastAsia="Arial" w:cs="Verdana"/>
          <w:color w:val="000000"/>
          <w:sz w:val="23"/>
          <w:szCs w:val="23"/>
        </w:rPr>
        <w:t>Declaração de que a empresa não possui em seu quadro funcional, empregados menores de 18 anos atuando em trabalho noturno, perigoso ou insalubre e ainda que não possua menores de 16 anos trabalhando na empresa, salvo no caso de aprendiz que somente poderá ocorrer a partir dos 14 anos de idade.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color w:val="000000"/>
          <w:sz w:val="23"/>
          <w:szCs w:val="23"/>
        </w:rPr>
        <w:t>20. JUSTIFICATIVAS DA VIABILIDADE</w:t>
      </w:r>
    </w:p>
    <w:p>
      <w:pPr>
        <w:pStyle w:val="BodyText"/>
        <w:spacing w:lineRule="auto" w:line="240"/>
        <w:jc w:val="both"/>
        <w:rPr/>
      </w:pPr>
      <w:r>
        <w:rPr>
          <w:b/>
          <w:bCs/>
          <w:sz w:val="23"/>
          <w:szCs w:val="23"/>
        </w:rPr>
        <w:t>20.1.</w:t>
      </w:r>
      <w:r>
        <w:rPr>
          <w:sz w:val="23"/>
          <w:szCs w:val="23"/>
        </w:rPr>
        <w:t xml:space="preserve"> </w:t>
      </w:r>
      <w:r>
        <w:rPr>
          <w:rFonts w:cs="Arial"/>
          <w:color w:val="000000"/>
          <w:sz w:val="23"/>
          <w:szCs w:val="23"/>
        </w:rPr>
        <w:t xml:space="preserve">A continuidade da obra, portanto, é </w:t>
      </w:r>
      <w:r>
        <w:rPr>
          <w:rStyle w:val="Strong"/>
          <w:rFonts w:cs="Arial"/>
          <w:b w:val="false"/>
          <w:bCs w:val="false"/>
          <w:color w:val="000000"/>
          <w:sz w:val="23"/>
          <w:szCs w:val="23"/>
        </w:rPr>
        <w:t>imprescindível para assegurar a regularidade do funcionamento do órgão público</w:t>
      </w:r>
      <w:r>
        <w:rPr>
          <w:rFonts w:cs="Arial"/>
          <w:color w:val="000000"/>
          <w:sz w:val="23"/>
          <w:szCs w:val="23"/>
        </w:rPr>
        <w:t>, evitando riscos à segurança dos usuários e paralisações das atividades legislativas.</w:t>
      </w:r>
    </w:p>
    <w:p>
      <w:pPr>
        <w:pStyle w:val="Normal"/>
        <w:spacing w:lineRule="auto" w:line="276"/>
        <w:jc w:val="right"/>
        <w:rPr>
          <w:rFonts w:ascii="Times New Roman" w:hAnsi="Times New Roman"/>
          <w:sz w:val="23"/>
          <w:szCs w:val="23"/>
        </w:rPr>
      </w:pPr>
      <w:r>
        <w:rPr>
          <w:rFonts w:cs="Arial"/>
          <w:color w:val="000000"/>
          <w:sz w:val="23"/>
          <w:szCs w:val="23"/>
        </w:rPr>
        <w:t xml:space="preserve">São Gabriel da Palha, </w:t>
      </w:r>
      <w:r>
        <w:rPr>
          <w:rFonts w:cs="Arial"/>
          <w:color w:val="000000"/>
          <w:sz w:val="23"/>
          <w:szCs w:val="23"/>
        </w:rPr>
        <w:t>12</w:t>
      </w:r>
      <w:r>
        <w:rPr>
          <w:rFonts w:cs="Arial"/>
          <w:color w:val="000000"/>
          <w:sz w:val="23"/>
          <w:szCs w:val="23"/>
        </w:rPr>
        <w:t xml:space="preserve"> de </w:t>
      </w:r>
      <w:r>
        <w:rPr>
          <w:rFonts w:cs="Arial"/>
          <w:color w:val="000000"/>
          <w:sz w:val="23"/>
          <w:szCs w:val="23"/>
        </w:rPr>
        <w:t>novembr</w:t>
      </w:r>
      <w:r>
        <w:rPr>
          <w:rFonts w:cs="Arial"/>
          <w:color w:val="000000"/>
          <w:sz w:val="23"/>
          <w:szCs w:val="23"/>
        </w:rPr>
        <w:t>o de 2025.</w:t>
      </w:r>
    </w:p>
    <w:p>
      <w:pPr>
        <w:pStyle w:val="Normal"/>
        <w:spacing w:lineRule="auto" w:line="276"/>
        <w:jc w:val="right"/>
        <w:rPr>
          <w:rFonts w:ascii="Times New Roman" w:hAnsi="Times New Roman" w:cs="Arial"/>
          <w:color w:val="000000"/>
          <w:sz w:val="23"/>
          <w:szCs w:val="23"/>
        </w:rPr>
      </w:pPr>
      <w:r>
        <w:rPr>
          <w:rFonts w:cs="Arial"/>
          <w:color w:val="000000"/>
          <w:sz w:val="23"/>
          <w:szCs w:val="23"/>
        </w:rPr>
      </w:r>
    </w:p>
    <w:p>
      <w:pPr>
        <w:pStyle w:val="Normal"/>
        <w:suppressAutoHyphens w:val="false"/>
        <w:spacing w:lineRule="auto" w:line="276"/>
        <w:jc w:val="both"/>
        <w:rPr>
          <w:rFonts w:ascii="Times New Roman" w:hAnsi="Times New Roman"/>
          <w:sz w:val="23"/>
          <w:szCs w:val="23"/>
        </w:rPr>
      </w:pPr>
      <w:r>
        <w:rPr>
          <w:rFonts w:cs="Arial"/>
          <w:b/>
          <w:sz w:val="23"/>
          <w:szCs w:val="23"/>
        </w:rPr>
        <w:t>19. RESPONSÁVEIS</w:t>
      </w:r>
    </w:p>
    <w:tbl>
      <w:tblPr>
        <w:tblW w:w="9694" w:type="dxa"/>
        <w:jc w:val="left"/>
        <w:tblInd w:w="5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819"/>
        <w:gridCol w:w="4874"/>
      </w:tblGrid>
      <w:tr>
        <w:trPr/>
        <w:tc>
          <w:tcPr>
            <w:tcW w:w="481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76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cs="Arial"/>
                <w:b/>
                <w:color w:val="000000"/>
                <w:sz w:val="23"/>
                <w:szCs w:val="23"/>
              </w:rPr>
              <w:t>Elaborado por:</w:t>
            </w:r>
          </w:p>
        </w:tc>
        <w:tc>
          <w:tcPr>
            <w:tcW w:w="48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76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eastAsia="Arial" w:cs="Arial"/>
                <w:b/>
                <w:color w:val="000000"/>
                <w:sz w:val="23"/>
                <w:szCs w:val="23"/>
              </w:rPr>
              <w:t>Autorizado por:</w:t>
            </w:r>
          </w:p>
        </w:tc>
      </w:tr>
      <w:tr>
        <w:trPr/>
        <w:tc>
          <w:tcPr>
            <w:tcW w:w="4819" w:type="dxa"/>
            <w:tcBorders/>
            <w:shd w:color="auto" w:fill="auto" w:val="clear"/>
          </w:tcPr>
          <w:p>
            <w:pPr>
              <w:pStyle w:val="Contedodatabela"/>
              <w:widowControl w:val="false"/>
              <w:spacing w:lineRule="auto" w:line="276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  <w:tc>
          <w:tcPr>
            <w:tcW w:w="4874" w:type="dxa"/>
            <w:tcBorders/>
            <w:shd w:color="auto" w:fill="auto" w:val="clear"/>
          </w:tcPr>
          <w:p>
            <w:pPr>
              <w:pStyle w:val="Contedodatabela"/>
              <w:widowControl w:val="false"/>
              <w:spacing w:lineRule="auto" w:line="276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</w:r>
          </w:p>
        </w:tc>
      </w:tr>
      <w:tr>
        <w:trPr/>
        <w:tc>
          <w:tcPr>
            <w:tcW w:w="481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cs="Arial"/>
                <w:b/>
                <w:bCs/>
                <w:color w:val="000000"/>
                <w:sz w:val="23"/>
                <w:szCs w:val="23"/>
              </w:rPr>
              <w:t>Alesandra Dalcumune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cs="Arial"/>
                <w:color w:val="000000"/>
                <w:sz w:val="23"/>
                <w:szCs w:val="23"/>
              </w:rPr>
              <w:t>Assistente Administrativo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cs="Arial"/>
                <w:color w:val="000000"/>
                <w:sz w:val="23"/>
                <w:szCs w:val="23"/>
              </w:rPr>
              <w:t>Mat. nº 003770</w:t>
            </w:r>
          </w:p>
        </w:tc>
        <w:tc>
          <w:tcPr>
            <w:tcW w:w="48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Francieli da Rocha Avila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pacing w:lineRule="auto" w:line="276"/>
              <w:jc w:val="center"/>
              <w:rPr>
                <w:rFonts w:ascii="Times New Roman" w:hAnsi="Times New Roman"/>
                <w:sz w:val="23"/>
                <w:szCs w:val="23"/>
              </w:rPr>
            </w:pPr>
            <w:bookmarkStart w:id="0" w:name="_GoBack1"/>
            <w:bookmarkEnd w:id="0"/>
            <w:r>
              <w:rPr>
                <w:rFonts w:eastAsia="Arial" w:cs="Arial"/>
                <w:sz w:val="23"/>
                <w:szCs w:val="23"/>
              </w:rPr>
              <w:t>Secretária Municipal de Administração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pacing w:lineRule="auto" w:line="276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eastAsia="Arial" w:cs="Arial"/>
                <w:color w:val="000000"/>
                <w:sz w:val="23"/>
                <w:szCs w:val="23"/>
              </w:rPr>
              <w:t xml:space="preserve">Decreto nº </w:t>
            </w:r>
            <w:r>
              <w:rPr>
                <w:bCs/>
                <w:color w:val="000000"/>
                <w:sz w:val="23"/>
                <w:szCs w:val="23"/>
              </w:rPr>
              <w:t>4.673/2025</w:t>
            </w:r>
          </w:p>
        </w:tc>
      </w:tr>
    </w:tbl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/>
        <w:rPr>
          <w:rFonts w:ascii="Times New Roman" w:hAnsi="Times New Roman" w:cs="Arial"/>
          <w:sz w:val="23"/>
          <w:szCs w:val="23"/>
        </w:rPr>
      </w:pPr>
      <w:r>
        <w:rPr>
          <w:rFonts w:cs="Arial"/>
          <w:sz w:val="23"/>
          <w:szCs w:val="23"/>
        </w:rPr>
      </w:r>
    </w:p>
    <w:sectPr>
      <w:headerReference w:type="even" r:id="rId8"/>
      <w:headerReference w:type="default" r:id="rId9"/>
      <w:headerReference w:type="first" r:id="rId10"/>
      <w:footerReference w:type="even" r:id="rId11"/>
      <w:footerReference w:type="default" r:id="rId12"/>
      <w:footerReference w:type="first" r:id="rId13"/>
      <w:type w:val="nextPage"/>
      <w:pgSz w:w="11906" w:h="16838"/>
      <w:pgMar w:left="1417" w:right="1134" w:gutter="0" w:header="668" w:top="1582" w:footer="535" w:bottom="1178"/>
      <w:pgNumType w:fmt="decimal"/>
      <w:formProt w:val="false"/>
      <w:textDirection w:val="lrTb"/>
      <w:docGrid w:type="default" w:linePitch="360" w:charSpace="901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Ecofont_Spranq_eco_Sans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1" w:author="Autor desconhecido" w:date="2023-11-27T16:21:00Z"/>
      </w:rPr>
    </w:pPr>
    <w:ins w:id="0" w:author="Autor desconhecido" w:date="2023-11-27T16:21:00Z">
      <w:r>
        <w:rPr>
          <w:rStyle w:val="PageNumber"/>
          <w:rFonts w:cs="Tahoma" w:ascii="Tahoma" w:hAnsi="Tahoma"/>
          <w:color w:val="000000"/>
          <w:sz w:val="18"/>
          <w:szCs w:val="18"/>
          <w:shd w:fill="auto" w:val="clear"/>
        </w:rPr>
        <w:t>Praça Vicente Glazar, 159 | São Gabriel da Palha-ES | CEP 29780 000</w:t>
      </w:r>
    </w:ins>
  </w:p>
  <w:p>
    <w:pPr>
      <w:pStyle w:val="Normal"/>
      <w:jc w:val="center"/>
      <w:rPr/>
    </w:pPr>
    <w:ins w:id="2" w:author="Autor desconhecido" w:date="2023-11-27T16:21:00Z">
      <w:r>
        <w:rPr>
          <w:rStyle w:val="PageNumber"/>
          <w:rFonts w:cs="Tahoma" w:ascii="Tahoma" w:hAnsi="Tahoma"/>
          <w:color w:val="000000"/>
          <w:sz w:val="18"/>
          <w:szCs w:val="18"/>
          <w:shd w:fill="auto" w:val="clear"/>
        </w:rPr>
        <w:t>Fone/Fax (027) 3727-1366 | E-mail: administracao@saogabriel.es.gov.br</w:t>
      </w:r>
    </w:ins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4" w:author="Autor desconhecido" w:date="2023-11-27T16:21:00Z"/>
      </w:rPr>
    </w:pPr>
    <w:ins w:id="3" w:author="Autor desconhecido" w:date="2023-11-27T16:21:00Z">
      <w:r>
        <w:rPr>
          <w:rStyle w:val="PageNumber"/>
          <w:rFonts w:cs="Tahoma" w:ascii="Tahoma" w:hAnsi="Tahoma"/>
          <w:color w:val="000000"/>
          <w:sz w:val="18"/>
          <w:szCs w:val="18"/>
          <w:shd w:fill="auto" w:val="clear"/>
        </w:rPr>
        <w:t>Praça Vicente Glazar, 159 | São Gabriel da Palha-ES | CEP 29780 000</w:t>
      </w:r>
    </w:ins>
  </w:p>
  <w:p>
    <w:pPr>
      <w:pStyle w:val="Normal"/>
      <w:jc w:val="center"/>
      <w:rPr/>
    </w:pPr>
    <w:ins w:id="5" w:author="Autor desconhecido" w:date="2023-11-27T16:21:00Z">
      <w:r>
        <w:rPr>
          <w:rStyle w:val="PageNumber"/>
          <w:rFonts w:cs="Tahoma" w:ascii="Tahoma" w:hAnsi="Tahoma"/>
          <w:color w:val="000000"/>
          <w:sz w:val="18"/>
          <w:szCs w:val="18"/>
          <w:shd w:fill="auto" w:val="clear"/>
        </w:rPr>
        <w:t>Fone/Fax (027) 3727-1366 | E-mail: administracao@saogabriel.es.gov.br</w:t>
      </w:r>
    </w:ins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9">
          <wp:simplePos x="0" y="0"/>
          <wp:positionH relativeFrom="column">
            <wp:posOffset>-121920</wp:posOffset>
          </wp:positionH>
          <wp:positionV relativeFrom="paragraph">
            <wp:posOffset>-177800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18"/>
        <w:szCs w:val="18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</w:rPr>
      <w:t>Secretaria Municipal de Administração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9">
          <wp:simplePos x="0" y="0"/>
          <wp:positionH relativeFrom="column">
            <wp:posOffset>-121920</wp:posOffset>
          </wp:positionH>
          <wp:positionV relativeFrom="paragraph">
            <wp:posOffset>-177800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18"/>
        <w:szCs w:val="18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</w:rPr>
      <w:t>Secretaria Municipal de Administração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tabs>
        <w:tab w:val="clear" w:pos="708"/>
        <w:tab w:val="left" w:pos="0" w:leader="none"/>
      </w:tabs>
      <w:overflowPunct w:val="true"/>
      <w:ind w:hanging="432" w:left="432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uiPriority w:val="9"/>
    <w:unhideWhenUsed/>
    <w:qFormat/>
    <w:pPr>
      <w:keepNext w:val="true"/>
      <w:tabs>
        <w:tab w:val="clear" w:pos="708"/>
        <w:tab w:val="left" w:pos="0" w:leader="none"/>
      </w:tabs>
      <w:ind w:hanging="576" w:left="576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uiPriority w:val="9"/>
    <w:unhideWhenUsed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tabs>
        <w:tab w:val="clear" w:pos="708"/>
        <w:tab w:val="left" w:pos="0" w:leader="none"/>
      </w:tabs>
      <w:ind w:hanging="864" w:left="864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Symbol" w:hAnsi="Symbol" w:eastAsia="Times New Roman" w:cs="Times New Roman"/>
    </w:rPr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 w:customStyle="1">
    <w:name w:val="WW8Num3z0"/>
    <w:qFormat/>
    <w:rPr>
      <w:vanish/>
    </w:rPr>
  </w:style>
  <w:style w:type="character" w:styleId="Fontepargpadro3" w:customStyle="1">
    <w:name w:val="Fonte parág. padrão3"/>
    <w:qFormat/>
    <w:rPr/>
  </w:style>
  <w:style w:type="character" w:styleId="Fontepargpadro2" w:customStyle="1">
    <w:name w:val="Fonte parág. padrão2"/>
    <w:qFormat/>
    <w:rPr/>
  </w:style>
  <w:style w:type="character" w:styleId="WW8Num4z0" w:customStyle="1">
    <w:name w:val="WW8Num4z0"/>
    <w:qFormat/>
    <w:rPr>
      <w:b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>
      <w:color w:val="auto"/>
      <w:sz w:val="24"/>
      <w:szCs w:val="24"/>
    </w:rPr>
  </w:style>
  <w:style w:type="character" w:styleId="Fontepargpadro1" w:customStyle="1">
    <w:name w:val="Fonte parág. padrão1"/>
    <w:qFormat/>
    <w:rPr/>
  </w:style>
  <w:style w:type="character" w:styleId="CabealhoChar" w:customStyle="1">
    <w:name w:val="Cabeçalho Char"/>
    <w:qFormat/>
    <w:rPr>
      <w:sz w:val="24"/>
    </w:rPr>
  </w:style>
  <w:style w:type="character" w:styleId="RodapChar" w:customStyle="1">
    <w:name w:val="Rodapé Char"/>
    <w:qFormat/>
    <w:rPr>
      <w:sz w:val="24"/>
    </w:rPr>
  </w:style>
  <w:style w:type="character" w:styleId="pagenumber1" w:customStyle="1">
    <w:name w:val="page number1"/>
    <w:basedOn w:val="Fontepargpadro1"/>
    <w:qFormat/>
    <w:rPr/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Caracteresdenotaderodap" w:customStyle="1">
    <w:name w:val="Caracteres de nota de rodapé"/>
    <w:qFormat/>
    <w:rPr>
      <w:vertAlign w:val="superscript"/>
    </w:rPr>
  </w:style>
  <w:style w:type="character" w:styleId="Corpodetexto3Char" w:customStyle="1">
    <w:name w:val="Corpo de texto 3 Char"/>
    <w:qFormat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Pr/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Pr/>
  </w:style>
  <w:style w:type="character" w:styleId="Ttulo3Char" w:customStyle="1">
    <w:name w:val="Título 3 Char"/>
    <w:qFormat/>
    <w:rPr>
      <w:b/>
      <w:color w:val="00000A"/>
    </w:rPr>
  </w:style>
  <w:style w:type="character" w:styleId="Recuodecorpodetexto3Char" w:customStyle="1">
    <w:name w:val="Recuo de corpo de texto 3 Char"/>
    <w:qFormat/>
    <w:rPr>
      <w:sz w:val="16"/>
      <w:szCs w:val="16"/>
    </w:rPr>
  </w:style>
  <w:style w:type="character" w:styleId="Ttulo8Char" w:customStyle="1">
    <w:name w:val="Título 8 Char"/>
    <w:qFormat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Pr>
      <w:sz w:val="16"/>
      <w:szCs w:val="16"/>
      <w:lang w:eastAsia="zh-CN"/>
    </w:rPr>
  </w:style>
  <w:style w:type="character" w:styleId="Ttulo1Char" w:customStyle="1">
    <w:name w:val="Título 1 Char"/>
    <w:qFormat/>
    <w:rPr>
      <w:b/>
      <w:bCs/>
      <w:sz w:val="24"/>
      <w:lang w:eastAsia="zh-CN"/>
    </w:rPr>
  </w:style>
  <w:style w:type="character" w:styleId="Ttulo2Char" w:customStyle="1">
    <w:name w:val="Título 2 Char"/>
    <w:qFormat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Pr>
      <w:sz w:val="24"/>
      <w:lang w:eastAsia="zh-CN"/>
    </w:rPr>
  </w:style>
  <w:style w:type="character" w:styleId="CorpodetextoChar" w:customStyle="1">
    <w:name w:val="Corpo de texto Char"/>
    <w:qFormat/>
    <w:rPr>
      <w:lang w:eastAsia="zh-CN"/>
    </w:rPr>
  </w:style>
  <w:style w:type="character" w:styleId="CabealhoChar1" w:customStyle="1">
    <w:name w:val="Cabeçalho Char1"/>
    <w:qFormat/>
    <w:rPr>
      <w:sz w:val="24"/>
      <w:lang w:eastAsia="zh-CN"/>
    </w:rPr>
  </w:style>
  <w:style w:type="character" w:styleId="RodapChar1" w:customStyle="1">
    <w:name w:val="Rodapé Char1"/>
    <w:qFormat/>
    <w:rPr>
      <w:sz w:val="24"/>
      <w:lang w:eastAsia="zh-CN"/>
    </w:rPr>
  </w:style>
  <w:style w:type="character" w:styleId="TextodebaloChar1" w:customStyle="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Pr>
      <w:lang w:eastAsia="zh-CN"/>
    </w:rPr>
  </w:style>
  <w:style w:type="character" w:styleId="TtuloChar1" w:customStyle="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FootnoteCharacters11111" w:customStyle="1">
    <w:name w:val="Footnote Characters11111"/>
    <w:qFormat/>
    <w:rPr>
      <w:vertAlign w:val="superscript"/>
    </w:rPr>
  </w:style>
  <w:style w:type="character" w:styleId="FootnoteCharacters111111" w:customStyle="1">
    <w:name w:val="Footnote Characters111111"/>
    <w:qFormat/>
    <w:rPr>
      <w:vertAlign w:val="superscript"/>
    </w:rPr>
  </w:style>
  <w:style w:type="character" w:styleId="FootnoteCharacters1111111" w:customStyle="1">
    <w:name w:val="Footnote Characters1111111"/>
    <w:qFormat/>
    <w:rPr>
      <w:vertAlign w:val="superscript"/>
    </w:rPr>
  </w:style>
  <w:style w:type="character" w:styleId="FootnoteCharacters11111111" w:customStyle="1">
    <w:name w:val="Footnote Characters11111111"/>
    <w:qFormat/>
    <w:rPr>
      <w:vertAlign w:val="superscript"/>
    </w:rPr>
  </w:style>
  <w:style w:type="character" w:styleId="FootnoteCharacters111111111" w:customStyle="1">
    <w:name w:val="Footnote Characters111111111"/>
    <w:qFormat/>
    <w:rPr>
      <w:vertAlign w:val="superscript"/>
    </w:rPr>
  </w:style>
  <w:style w:type="character" w:styleId="FootnoteCharacters1111111111" w:customStyle="1">
    <w:name w:val="Footnote Characters1111111111"/>
    <w:qFormat/>
    <w:rPr>
      <w:vertAlign w:val="superscript"/>
    </w:rPr>
  </w:style>
  <w:style w:type="character" w:styleId="FootnoteCharacters11111111111" w:customStyle="1">
    <w:name w:val="Footnote Characters11111111111"/>
    <w:qFormat/>
    <w:rPr>
      <w:vertAlign w:val="superscript"/>
    </w:rPr>
  </w:style>
  <w:style w:type="character" w:styleId="FootnoteCharacters111111111111" w:customStyle="1">
    <w:name w:val="Footnote Characters111111111111"/>
    <w:qFormat/>
    <w:rPr>
      <w:vertAlign w:val="superscript"/>
    </w:rPr>
  </w:style>
  <w:style w:type="character" w:styleId="FootnoteCharacters1111111111111" w:customStyle="1">
    <w:name w:val="Footnote Characters1111111111111"/>
    <w:qFormat/>
    <w:rPr>
      <w:vertAlign w:val="superscript"/>
    </w:rPr>
  </w:style>
  <w:style w:type="character" w:styleId="FootnoteCharacters11111111111111" w:customStyle="1">
    <w:name w:val="Footnote Characters11111111111111"/>
    <w:basedOn w:val="DefaultParagraphFont"/>
    <w:qFormat/>
    <w:rPr>
      <w:vertAlign w:val="superscript"/>
    </w:rPr>
  </w:style>
  <w:style w:type="character" w:styleId="PageNumber">
    <w:name w:val="Page Number"/>
    <w:basedOn w:val="Fontepargpadro1"/>
    <w:rPr/>
  </w:style>
  <w:style w:type="character" w:styleId="LineNumbering" w:customStyle="1">
    <w:name w:val="Line Numbering"/>
    <w:qFormat/>
    <w:rPr/>
  </w:style>
  <w:style w:type="character" w:styleId="Marcadores" w:customStyle="1">
    <w:name w:val="Marcadores"/>
    <w:qFormat/>
    <w:rPr>
      <w:rFonts w:ascii="OpenSymbol" w:hAnsi="OpenSymbol" w:eastAsia="OpenSymbol" w:cs="OpenSymbol"/>
    </w:rPr>
  </w:style>
  <w:style w:type="character" w:styleId="Strong">
    <w:name w:val="Strong"/>
    <w:qFormat/>
    <w:rPr>
      <w:b/>
      <w:bCs/>
    </w:rPr>
  </w:style>
  <w:style w:type="character" w:styleId="Corpodetexto2Char1" w:customStyle="1">
    <w:name w:val="Corpo de texto 2 Char1"/>
    <w:basedOn w:val="DefaultParagraphFont"/>
    <w:link w:val="BodyText2"/>
    <w:uiPriority w:val="99"/>
    <w:semiHidden/>
    <w:qFormat/>
    <w:rsid w:val="00f343ec"/>
    <w:rPr>
      <w:lang w:eastAsia="zh-CN"/>
    </w:rPr>
  </w:style>
  <w:style w:type="character" w:styleId="InternetLink1">
    <w:name w:val="Internet Link1"/>
    <w:qFormat/>
    <w:rsid w:val="00f343ec"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LineNumbering1">
    <w:name w:val="Line Numbering1"/>
    <w:qFormat/>
    <w:rPr/>
  </w:style>
  <w:style w:type="character" w:styleId="InternetLink3">
    <w:name w:val="Internet Link3"/>
    <w:qFormat/>
    <w:rPr>
      <w:color w:val="000080"/>
      <w:u w:val="single"/>
    </w:rPr>
  </w:style>
  <w:style w:type="character" w:styleId="LineNumbering2">
    <w:name w:val="Line Numbering2"/>
    <w:qFormat/>
    <w:rPr/>
  </w:style>
  <w:style w:type="character" w:styleId="InternetLink4">
    <w:name w:val="Internet Link4"/>
    <w:qFormat/>
    <w:rPr>
      <w:color w:val="000080"/>
      <w:u w:val="single"/>
    </w:rPr>
  </w:style>
  <w:style w:type="character" w:styleId="LineNumbering3">
    <w:name w:val="Line Numbering3"/>
    <w:qFormat/>
    <w:rPr/>
  </w:style>
  <w:style w:type="character" w:styleId="InternetLink5">
    <w:name w:val="Internet Link5"/>
    <w:qFormat/>
    <w:rPr>
      <w:color w:val="000080"/>
      <w:u w:val="single"/>
    </w:rPr>
  </w:style>
  <w:style w:type="character" w:styleId="LineNumbering4">
    <w:name w:val="Line Numbering4"/>
    <w:qFormat/>
    <w:rPr/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uiPriority w:val="10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3" w:customStyle="1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" w:customStyle="1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 w:customStyle="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 w:customStyle="1">
    <w:name w:val="Cabeçalho e rodapé1"/>
    <w:basedOn w:val="Normal"/>
    <w:qFormat/>
    <w:pPr/>
    <w:rPr/>
  </w:style>
  <w:style w:type="paragraph" w:styleId="Cabealhoerodap2" w:customStyle="1">
    <w:name w:val="Cabeçalho e rodapé2"/>
    <w:basedOn w:val="Normal"/>
    <w:qFormat/>
    <w:pPr/>
    <w:rPr/>
  </w:style>
  <w:style w:type="paragraph" w:styleId="Cabealhoerodap3" w:customStyle="1">
    <w:name w:val="Cabeçalho e rodapé3"/>
    <w:basedOn w:val="Normal"/>
    <w:qFormat/>
    <w:pPr/>
    <w:rPr/>
  </w:style>
  <w:style w:type="paragraph" w:styleId="Cabealhoerodap4" w:customStyle="1">
    <w:name w:val="Cabeçalho e rodapé4"/>
    <w:basedOn w:val="Normal"/>
    <w:qFormat/>
    <w:pPr/>
    <w:rPr/>
  </w:style>
  <w:style w:type="paragraph" w:styleId="Cabealhoerodap5" w:customStyle="1">
    <w:name w:val="Cabeçalho e rodapé5"/>
    <w:basedOn w:val="Normal"/>
    <w:qFormat/>
    <w:pPr/>
    <w:rPr/>
  </w:style>
  <w:style w:type="paragraph" w:styleId="Cabealhoerodap6" w:customStyle="1">
    <w:name w:val="Cabeçalho e rodapé6"/>
    <w:basedOn w:val="Normal"/>
    <w:qFormat/>
    <w:pPr/>
    <w:rPr/>
  </w:style>
  <w:style w:type="paragraph" w:styleId="Cabealhoerodap7" w:customStyle="1">
    <w:name w:val="Cabeçalho e rodapé7"/>
    <w:basedOn w:val="Normal"/>
    <w:qFormat/>
    <w:pPr/>
    <w:rPr/>
  </w:style>
  <w:style w:type="paragraph" w:styleId="Cabealhoerodap8" w:customStyle="1">
    <w:name w:val="Cabeçalho e rodapé8"/>
    <w:basedOn w:val="Normal"/>
    <w:qFormat/>
    <w:pPr/>
    <w:rPr/>
  </w:style>
  <w:style w:type="paragraph" w:styleId="Cabealhoerodap9" w:customStyle="1">
    <w:name w:val="Cabeçalho e rodapé9"/>
    <w:basedOn w:val="Normal"/>
    <w:qFormat/>
    <w:pPr/>
    <w:rPr/>
  </w:style>
  <w:style w:type="paragraph" w:styleId="Cabealhoerodap10">
    <w:name w:val="Cabeçalho e rodapé10"/>
    <w:basedOn w:val="Normal"/>
    <w:qFormat/>
    <w:pPr/>
    <w:rPr/>
  </w:style>
  <w:style w:type="paragraph" w:styleId="Cabealhoerodap11">
    <w:name w:val="Cabeçalho e rodapé11"/>
    <w:basedOn w:val="Normal"/>
    <w:qFormat/>
    <w:pPr/>
    <w:rPr/>
  </w:style>
  <w:style w:type="paragraph" w:styleId="Cabealhoerodap12">
    <w:name w:val="Cabeçalho e rodapé12"/>
    <w:basedOn w:val="Normal"/>
    <w:qFormat/>
    <w:pPr/>
    <w:rPr/>
  </w:style>
  <w:style w:type="paragraph" w:styleId="Cabealhoerodap13">
    <w:name w:val="Cabeçalho e rodapé13"/>
    <w:basedOn w:val="Normal"/>
    <w:qFormat/>
    <w:pPr/>
    <w:rPr/>
  </w:style>
  <w:style w:type="paragraph" w:styleId="Cabealhoerodap14">
    <w:name w:val="Cabeçalho e rodapé14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pPr>
      <w:suppressLineNumbers/>
    </w:pPr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etabela"/>
    <w:qFormat/>
    <w:pPr>
      <w:jc w:val="center"/>
    </w:pPr>
    <w:rPr>
      <w:b/>
      <w:bCs/>
    </w:rPr>
  </w:style>
  <w:style w:type="paragraph" w:styleId="Recuodecorpodetexto31" w:customStyle="1">
    <w:name w:val="Recuo de corpo de texto 31"/>
    <w:basedOn w:val="Normal"/>
    <w:qFormat/>
    <w:pPr>
      <w:suppressAutoHyphens w:val="false"/>
      <w:spacing w:before="0" w:after="120"/>
      <w:ind w:left="283"/>
    </w:pPr>
    <w:rPr>
      <w:sz w:val="16"/>
      <w:szCs w:val="16"/>
    </w:rPr>
  </w:style>
  <w:style w:type="paragraph" w:styleId="WW-Textosimples" w:customStyle="1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/>
    </w:pPr>
    <w:rPr/>
  </w:style>
  <w:style w:type="paragraph" w:styleId="Pa4" w:customStyle="1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dro" w:customStyle="1">
    <w:name w:val="Padrão"/>
    <w:qFormat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0"/>
      <w:sz w:val="24"/>
      <w:szCs w:val="24"/>
      <w:lang w:val="pt-BR" w:eastAsia="zh-CN" w:bidi="hi-IN"/>
    </w:rPr>
  </w:style>
  <w:style w:type="paragraph" w:styleId="ecxmsonormal" w:customStyle="1">
    <w:name w:val="ecxmsonormal"/>
    <w:basedOn w:val="Normal"/>
    <w:qFormat/>
    <w:pPr>
      <w:overflowPunct w:val="true"/>
      <w:spacing w:before="0" w:after="324"/>
    </w:pPr>
    <w:rPr>
      <w:sz w:val="24"/>
      <w:szCs w:val="24"/>
    </w:rPr>
  </w:style>
  <w:style w:type="paragraph" w:styleId="BodyTextIndent3">
    <w:name w:val="Body Text Indent 3"/>
    <w:basedOn w:val="Normal"/>
    <w:qFormat/>
    <w:pPr>
      <w:spacing w:before="0" w:after="120"/>
      <w:ind w:left="283"/>
    </w:pPr>
    <w:rPr>
      <w:sz w:val="16"/>
      <w:szCs w:val="16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Linhahorizontal" w:customStyle="1">
    <w:name w:val="Linha horizontal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BodyText2">
    <w:name w:val="Body Text 2"/>
    <w:basedOn w:val="Normal"/>
    <w:link w:val="Corpodetexto2Char1"/>
    <w:uiPriority w:val="99"/>
    <w:semiHidden/>
    <w:unhideWhenUsed/>
    <w:qFormat/>
    <w:rsid w:val="00f343ec"/>
    <w:pPr>
      <w:spacing w:lineRule="auto" w:line="480" w:before="0" w:after="120"/>
    </w:pPr>
    <w:rPr/>
  </w:style>
  <w:style w:type="paragraph" w:styleId="Standard" w:customStyle="1">
    <w:name w:val="Standard"/>
    <w:qFormat/>
    <w:rsid w:val="00f343ec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Standard1" w:customStyle="1">
    <w:name w:val="Standard1"/>
    <w:qFormat/>
    <w:rsid w:val="00f343ec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Calibri"/>
      <w:color w:val="auto"/>
      <w:kern w:val="2"/>
      <w:sz w:val="24"/>
      <w:szCs w:val="24"/>
      <w:lang w:val="pt-BR" w:eastAsia="zh-CN" w:bidi="hi-IN"/>
    </w:rPr>
  </w:style>
  <w:style w:type="paragraph" w:styleId="PADRO1" w:customStyle="1">
    <w:name w:val="PADRÃO"/>
    <w:qFormat/>
    <w:rsid w:val="00f343ec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numbering" w:styleId="Semlista" w:default="1">
    <w:name w:val="Sem lista"/>
    <w:uiPriority w:val="99"/>
    <w:semiHidden/>
    <w:unhideWhenUsed/>
    <w:qFormat/>
  </w:style>
  <w:style w:type="numbering" w:styleId="WW8Num3" w:customStyle="1">
    <w:name w:val="WW8Num3"/>
    <w:qFormat/>
  </w:style>
  <w:style w:type="numbering" w:styleId="WW8Num6" w:customStyle="1">
    <w:name w:val="WW8Num6"/>
    <w:qFormat/>
    <w:rsid w:val="00f343ec"/>
  </w:style>
  <w:style w:type="numbering" w:styleId="WW8Num5" w:customStyle="1">
    <w:name w:val="WW8Num5"/>
    <w:qFormat/>
    <w:rsid w:val="00f343ec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portaldatransparencia.gov.br/ceis" TargetMode="External"/><Relationship Id="rId3" Type="http://schemas.openxmlformats.org/officeDocument/2006/relationships/hyperlink" Target="http://www.cnj.jus.br/improbidade_adm/consultar_requerido.php" TargetMode="External"/><Relationship Id="rId4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hyperlink" Target="https://certidoesapf.apps.tcu.gov.br/" TargetMode="External"/><Relationship Id="rId6" Type="http://schemas.openxmlformats.org/officeDocument/2006/relationships/hyperlink" Target="http://www.portaldoempreendedor.gov.br/" TargetMode="External"/><Relationship Id="rId7" Type="http://schemas.openxmlformats.org/officeDocument/2006/relationships/hyperlink" Target="mailto:obras@saogabriel.es.gov.br" TargetMode="Externa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LibreOffice/24.2.5.2$Windows_X86_64 LibreOffice_project/bffef4ea93e59bebbeaf7f431bb02b1a39ee8a59</Application>
  <AppVersion>15.0000</AppVersion>
  <Pages>8</Pages>
  <Words>3915</Words>
  <Characters>23004</Characters>
  <CharactersWithSpaces>26846</CharactersWithSpaces>
  <Paragraphs>162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2025-07-11T13:26:00Z</dcterms:created>
  <dc:creator>PMSGP</dc:creator>
  <dc:description/>
  <dc:language>pt-BR</dc:language>
  <cp:lastModifiedBy/>
  <cp:lastPrinted>2025-11-12T13:09:19Z</cp:lastPrinted>
  <dcterms:modified xsi:type="dcterms:W3CDTF">2025-11-12T13:04:46Z</dcterms:modified>
  <cp:revision>19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